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0D" w:rsidRDefault="00783A0A">
      <w:pPr>
        <w:pStyle w:val="1"/>
        <w:tabs>
          <w:tab w:val="right" w:leader="dot" w:pos="8958"/>
        </w:tabs>
        <w:jc w:val="center"/>
        <w:rPr>
          <w:rFonts w:ascii="Times New Roman" w:eastAsia="华文中宋" w:hAnsi="Times New Roman" w:hint="default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中国科学院</w:t>
      </w:r>
      <w:r>
        <w:rPr>
          <w:rFonts w:ascii="Times New Roman" w:eastAsia="华文中宋" w:hAnsi="Times New Roman"/>
          <w:b/>
          <w:sz w:val="36"/>
          <w:szCs w:val="36"/>
        </w:rPr>
        <w:t>2017</w:t>
      </w:r>
      <w:r>
        <w:rPr>
          <w:rFonts w:ascii="Times New Roman" w:eastAsia="华文中宋" w:hAnsi="Times New Roman"/>
          <w:b/>
          <w:sz w:val="36"/>
          <w:szCs w:val="36"/>
        </w:rPr>
        <w:t>年度科技服务网络计划项目</w:t>
      </w:r>
    </w:p>
    <w:p w:rsidR="009A230D" w:rsidRDefault="00783A0A">
      <w:pPr>
        <w:pStyle w:val="1"/>
        <w:tabs>
          <w:tab w:val="right" w:leader="dot" w:pos="8958"/>
        </w:tabs>
        <w:jc w:val="center"/>
        <w:rPr>
          <w:rFonts w:ascii="Times New Roman" w:eastAsia="华文中宋" w:hAnsi="Times New Roman" w:hint="default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sz w:val="36"/>
          <w:szCs w:val="36"/>
        </w:rPr>
        <w:t>重点方向</w:t>
      </w:r>
      <w:bookmarkEnd w:id="0"/>
    </w:p>
    <w:p w:rsidR="009A230D" w:rsidRDefault="009A230D">
      <w:pPr>
        <w:jc w:val="center"/>
        <w:rPr>
          <w:rFonts w:ascii="楷体_GB2312" w:eastAsia="楷体_GB2312" w:hAnsi="楷体_GB2312" w:cs="楷体_GB2312" w:hint="default"/>
          <w:color w:val="FF0000"/>
          <w:sz w:val="36"/>
          <w:szCs w:val="28"/>
        </w:rPr>
      </w:pPr>
    </w:p>
    <w:p w:rsidR="009A230D" w:rsidRDefault="00783A0A">
      <w:pPr>
        <w:widowControl/>
        <w:spacing w:beforeLines="100" w:before="312" w:afterLines="50" w:after="156" w:line="500" w:lineRule="exact"/>
        <w:ind w:firstLineChars="200" w:firstLine="562"/>
        <w:rPr>
          <w:rFonts w:ascii="黑体" w:eastAsia="黑体" w:hAnsi="黑体" w:cstheme="minorBidi" w:hint="default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t>一、农业领域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1.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农业转型发展模式与示范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）生态草牧业发展模式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）大型农场可持续集约农业技术发展平台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）农场产业度量指标与区域农业产业发展表征系统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4</w:t>
      </w:r>
      <w:r>
        <w:rPr>
          <w:rFonts w:ascii="Times New Roman" w:eastAsia="仿宋_GB2312" w:hAnsi="Times New Roman" w:cstheme="minorBidi"/>
          <w:sz w:val="28"/>
          <w:szCs w:val="28"/>
        </w:rPr>
        <w:t>）海洋与淡水渔业发展模式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2.</w:t>
      </w:r>
      <w:r>
        <w:rPr>
          <w:rFonts w:ascii="Times New Roman" w:eastAsia="仿宋_GB2312" w:hAnsi="Times New Roman" w:cstheme="minorBidi"/>
          <w:b/>
          <w:sz w:val="28"/>
          <w:szCs w:val="28"/>
        </w:rPr>
        <w:t>种质资源创新与自然资源要素高效利用共性技术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）种质资源创新与新品种培育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）西部典型县域特色农业产业培育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）农业自然要素高效投入利用共性技术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3.</w:t>
      </w:r>
      <w:r>
        <w:rPr>
          <w:rFonts w:ascii="Times New Roman" w:eastAsia="仿宋_GB2312" w:hAnsi="Times New Roman" w:cstheme="minorBidi"/>
          <w:b/>
          <w:sz w:val="28"/>
          <w:szCs w:val="28"/>
        </w:rPr>
        <w:t>设施农业技术与产品研发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）植物工厂集成技术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）营养品质提升与采后处理加工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）新型肥药与病虫害防控技术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4</w:t>
      </w:r>
      <w:r>
        <w:rPr>
          <w:rFonts w:ascii="Times New Roman" w:eastAsia="仿宋_GB2312" w:hAnsi="Times New Roman" w:cstheme="minorBidi"/>
          <w:sz w:val="28"/>
          <w:szCs w:val="28"/>
        </w:rPr>
        <w:t>）农业大数据分析与物联网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4.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农林资源合理化利用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）农林废弃物资源化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）林业资源管理与有效利用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5.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农业科技海外拓展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6.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农业政策与发展策略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）中国农业转型发展制度设计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）区域农业发展的水土资源匹配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）粮棉油等产量高精度预测</w:t>
      </w:r>
    </w:p>
    <w:p w:rsidR="009A230D" w:rsidRDefault="00783A0A">
      <w:pPr>
        <w:widowControl/>
        <w:spacing w:beforeLines="100" w:before="312" w:afterLines="50" w:after="156" w:line="500" w:lineRule="exact"/>
        <w:ind w:firstLineChars="200" w:firstLine="562"/>
        <w:rPr>
          <w:rFonts w:ascii="黑体" w:eastAsia="黑体" w:hAnsi="黑体" w:cstheme="minorBidi" w:hint="default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lastRenderedPageBreak/>
        <w:t>二、健康与生物领域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1.</w:t>
      </w:r>
      <w:r>
        <w:rPr>
          <w:rFonts w:ascii="Times New Roman" w:eastAsia="仿宋_GB2312" w:hAnsi="Times New Roman" w:cstheme="minorBidi"/>
          <w:b/>
          <w:sz w:val="28"/>
          <w:szCs w:val="28"/>
        </w:rPr>
        <w:t>新型医疗器械与产品的研发和应用示范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）新型医疗器械安全与性能检测评价平台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）新型体外诊断产品研发与应用示范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）新型高生物相容性医用材料的研制和产业化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2.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城镇人群健康保障技术及应用示范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）心理健康服务平台建设及应用示范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）老龄健康共性适宜技术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bCs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</w:t>
      </w:r>
      <w:r>
        <w:rPr>
          <w:rFonts w:ascii="Times New Roman" w:eastAsia="仿宋_GB2312" w:hAnsi="Times New Roman" w:cstheme="minorBidi"/>
          <w:bCs/>
          <w:sz w:val="28"/>
          <w:szCs w:val="28"/>
        </w:rPr>
        <w:t>食品安全检测评价新技术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bCs/>
          <w:sz w:val="28"/>
          <w:szCs w:val="28"/>
        </w:rPr>
      </w:pPr>
      <w:r>
        <w:rPr>
          <w:rFonts w:ascii="Times New Roman" w:eastAsia="仿宋_GB2312" w:hAnsi="Times New Roman" w:cstheme="minorBidi"/>
          <w:bCs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bCs/>
          <w:sz w:val="28"/>
          <w:szCs w:val="28"/>
        </w:rPr>
        <w:t>4</w:t>
      </w:r>
      <w:r>
        <w:rPr>
          <w:rFonts w:ascii="Times New Roman" w:eastAsia="仿宋_GB2312" w:hAnsi="Times New Roman" w:cstheme="minorBidi"/>
          <w:bCs/>
          <w:sz w:val="28"/>
          <w:szCs w:val="28"/>
        </w:rPr>
        <w:t>）营养功能性食品制造关键技术研究与新产品创制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sz w:val="28"/>
          <w:szCs w:val="28"/>
        </w:rPr>
      </w:pPr>
      <w:r>
        <w:rPr>
          <w:rFonts w:ascii="Times New Roman" w:eastAsia="仿宋_GB2312" w:hAnsi="Times New Roman" w:cstheme="minorBidi"/>
          <w:b/>
          <w:sz w:val="28"/>
          <w:szCs w:val="28"/>
        </w:rPr>
        <w:t>3.</w:t>
      </w:r>
      <w:r>
        <w:rPr>
          <w:rFonts w:ascii="Times New Roman" w:eastAsia="仿宋_GB2312" w:hAnsi="Times New Roman" w:cstheme="minorBidi"/>
          <w:b/>
          <w:sz w:val="28"/>
          <w:szCs w:val="28"/>
        </w:rPr>
        <w:t>先进生物制造技术在工业生产中的集成应用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）基于先进生物制造技术的新产品和新工艺的开发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color w:val="FF0000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）生物分离关键技术及应用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）生物基材料在农膜等重点领域的应用示范及标准制定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4</w:t>
      </w:r>
      <w:r>
        <w:rPr>
          <w:rFonts w:ascii="Times New Roman" w:eastAsia="仿宋_GB2312" w:hAnsi="Times New Roman" w:cstheme="minorBidi"/>
          <w:sz w:val="28"/>
          <w:szCs w:val="28"/>
        </w:rPr>
        <w:t>）构建非粮生物质原料技术平台</w:t>
      </w:r>
    </w:p>
    <w:p w:rsidR="009A230D" w:rsidRDefault="00783A0A">
      <w:pPr>
        <w:widowControl/>
        <w:spacing w:beforeLines="100" w:before="312" w:afterLines="50" w:after="156" w:line="500" w:lineRule="exact"/>
        <w:ind w:firstLineChars="200" w:firstLine="562"/>
        <w:rPr>
          <w:rFonts w:ascii="黑体" w:eastAsia="黑体" w:hAnsi="黑体" w:cstheme="minorBidi" w:hint="default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t>三、资源与环境领域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1.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重点区域生态评估与监测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）长江经济带岸线资源调查与湿地生态评估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）我国近海海洋环境监测评估与生态恢复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）京津风沙源治理工程遥感评估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2.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生态系统网络相关研究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）生物多样性与生态服务功能关系研究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）生态系统研究网络新型监测设备研制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3.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环境污染治理新技术研究与示范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）农田土壤污染治理新材料新技术研究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）石油场地污染修复技术设备研发示范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）南方面源污染治理模式集成示范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4</w:t>
      </w:r>
      <w:r>
        <w:rPr>
          <w:rFonts w:ascii="Times New Roman" w:eastAsia="仿宋_GB2312" w:hAnsi="Times New Roman" w:cstheme="minorBidi"/>
          <w:sz w:val="28"/>
          <w:szCs w:val="28"/>
        </w:rPr>
        <w:t>）室内空气高效净化材料及器件研发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5</w:t>
      </w:r>
      <w:r>
        <w:rPr>
          <w:rFonts w:ascii="Times New Roman" w:eastAsia="仿宋_GB2312" w:hAnsi="Times New Roman" w:cstheme="minorBidi"/>
          <w:sz w:val="28"/>
          <w:szCs w:val="28"/>
        </w:rPr>
        <w:t>）流域环境抗生素污染控制策略与技术研究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4.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清洁环境资源化利用技术研究与示范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）废旧动力电池资源化利用技术研发与示范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）农业废弃物</w:t>
      </w:r>
      <w:r>
        <w:rPr>
          <w:rFonts w:ascii="Times New Roman" w:eastAsia="仿宋_GB2312" w:hAnsi="Times New Roman"/>
          <w:sz w:val="28"/>
          <w:szCs w:val="28"/>
        </w:rPr>
        <w:t>资源化利用技术研发与示范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）环境修复生物资源化利用技术研究与示范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5.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区域发展战略咨询与自然资源清查报告研究</w:t>
      </w:r>
    </w:p>
    <w:p w:rsidR="009A230D" w:rsidRDefault="00783A0A">
      <w:pPr>
        <w:widowControl/>
        <w:spacing w:beforeLines="100" w:before="312" w:afterLines="50" w:after="156" w:line="500" w:lineRule="exact"/>
        <w:ind w:firstLineChars="200" w:firstLine="562"/>
        <w:rPr>
          <w:rFonts w:ascii="黑体" w:eastAsia="黑体" w:hAnsi="黑体" w:cstheme="minorBidi" w:hint="default"/>
          <w:b/>
          <w:sz w:val="28"/>
          <w:szCs w:val="28"/>
        </w:rPr>
      </w:pPr>
      <w:r>
        <w:rPr>
          <w:rFonts w:ascii="黑体" w:eastAsia="黑体" w:hAnsi="黑体" w:cstheme="minorBidi"/>
          <w:b/>
          <w:sz w:val="28"/>
          <w:szCs w:val="28"/>
        </w:rPr>
        <w:t>四、高技术领域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1.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高端制造技术与装备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）精密激光加工核心技术、设备与应用示范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）深冷处理装备及关键技术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2.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面向重点行业的核心基础器件研发与应用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）各类新型智能传感器研制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）超高速数据转换器芯片研制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</w:t>
      </w:r>
      <w:r>
        <w:rPr>
          <w:rFonts w:ascii="Times New Roman" w:eastAsia="仿宋_GB2312" w:hAnsi="Times New Roman" w:cstheme="minorBidi"/>
          <w:sz w:val="28"/>
          <w:szCs w:val="28"/>
        </w:rPr>
        <w:t>MEMS</w:t>
      </w:r>
      <w:r>
        <w:rPr>
          <w:rFonts w:ascii="Times New Roman" w:eastAsia="仿宋_GB2312" w:hAnsi="Times New Roman" w:cstheme="minorBidi"/>
          <w:sz w:val="28"/>
          <w:szCs w:val="28"/>
        </w:rPr>
        <w:t>传感器一体化公共服务平台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3.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核心基础材料及基础化学工艺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）高端装备用特殊钢清洁智能制备示范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）有色金属复杂体系高效净化精确分离技术工业应用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</w:t>
      </w:r>
      <w:r>
        <w:rPr>
          <w:rFonts w:ascii="Times New Roman" w:eastAsia="仿宋_GB2312" w:hAnsi="Times New Roman" w:cstheme="minorBidi"/>
          <w:sz w:val="28"/>
          <w:szCs w:val="28"/>
        </w:rPr>
        <w:t>CVD</w:t>
      </w:r>
      <w:r>
        <w:rPr>
          <w:rFonts w:ascii="Times New Roman" w:eastAsia="仿宋_GB2312" w:hAnsi="Times New Roman" w:cstheme="minorBidi"/>
          <w:sz w:val="28"/>
          <w:szCs w:val="28"/>
        </w:rPr>
        <w:t>大单晶金刚石及其超精密加工工具产业化示范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hint="default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）煤制烯烃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/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芳烃等煤炭清洁高效转化新技术及其应用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" w:hAnsi="仿宋" w:hint="default"/>
          <w:sz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5</w:t>
      </w:r>
      <w:r>
        <w:rPr>
          <w:rFonts w:ascii="Times New Roman" w:eastAsia="仿宋_GB2312" w:hAnsi="Times New Roman" w:cstheme="minorBidi"/>
          <w:sz w:val="28"/>
          <w:szCs w:val="28"/>
        </w:rPr>
        <w:t>）</w:t>
      </w:r>
      <w:r>
        <w:rPr>
          <w:rFonts w:ascii="Times New Roman" w:eastAsia="仿宋" w:hAnsi="仿宋"/>
          <w:sz w:val="28"/>
        </w:rPr>
        <w:t>溢油应急关键材料与装备示范系统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6</w:t>
      </w:r>
      <w:r>
        <w:rPr>
          <w:rFonts w:ascii="Times New Roman" w:eastAsia="仿宋_GB2312" w:hAnsi="Times New Roman" w:cstheme="minorBidi"/>
          <w:sz w:val="28"/>
          <w:szCs w:val="28"/>
        </w:rPr>
        <w:t>）正丁烷选择氧化制顺酐新型催化剂开发及产业化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7</w:t>
      </w:r>
      <w:r>
        <w:rPr>
          <w:rFonts w:ascii="Times New Roman" w:eastAsia="仿宋_GB2312" w:hAnsi="Times New Roman" w:cstheme="minorBidi"/>
          <w:sz w:val="28"/>
          <w:szCs w:val="28"/>
        </w:rPr>
        <w:t>）无定形聚芳醚酮系列产品的产业化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4.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基于可再生能源的多能互补微能源网示范应用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1</w:t>
      </w:r>
      <w:r>
        <w:rPr>
          <w:rFonts w:ascii="Times New Roman" w:eastAsia="仿宋_GB2312" w:hAnsi="Times New Roman" w:cstheme="minorBidi"/>
          <w:sz w:val="28"/>
          <w:szCs w:val="28"/>
        </w:rPr>
        <w:t>）海岛、工业园区等</w:t>
      </w:r>
      <w:r>
        <w:rPr>
          <w:rFonts w:ascii="Times New Roman" w:eastAsia="仿宋_GB2312" w:hAnsi="Times New Roman" w:cstheme="minorBidi"/>
          <w:sz w:val="28"/>
          <w:szCs w:val="28"/>
        </w:rPr>
        <w:t>MW</w:t>
      </w:r>
      <w:r>
        <w:rPr>
          <w:rFonts w:ascii="Times New Roman" w:eastAsia="仿宋_GB2312" w:hAnsi="Times New Roman" w:cstheme="minorBidi"/>
          <w:sz w:val="28"/>
          <w:szCs w:val="28"/>
        </w:rPr>
        <w:t>级区域微能源系统示范应用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theme="minorBidi"/>
          <w:sz w:val="28"/>
          <w:szCs w:val="28"/>
        </w:rPr>
        <w:t>2</w:t>
      </w:r>
      <w:r>
        <w:rPr>
          <w:rFonts w:ascii="Times New Roman" w:eastAsia="仿宋_GB2312" w:hAnsi="Times New Roman" w:cstheme="minorBidi"/>
          <w:sz w:val="28"/>
          <w:szCs w:val="28"/>
        </w:rPr>
        <w:t>）西部偏远农村光伏及其它多能互补微能源系统示范应用</w:t>
      </w:r>
    </w:p>
    <w:p w:rsidR="009A230D" w:rsidRDefault="00783A0A">
      <w:pPr>
        <w:widowControl/>
        <w:spacing w:line="500" w:lineRule="exact"/>
        <w:ind w:firstLineChars="200" w:firstLine="560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sz w:val="28"/>
          <w:szCs w:val="28"/>
        </w:rPr>
        <w:t>（</w:t>
      </w:r>
      <w:r>
        <w:rPr>
          <w:rFonts w:ascii="Times New Roman" w:eastAsia="仿宋_GB2312" w:hAnsi="Times New Roman" w:cstheme="minorBidi"/>
          <w:sz w:val="28"/>
          <w:szCs w:val="28"/>
        </w:rPr>
        <w:t>3</w:t>
      </w:r>
      <w:r>
        <w:rPr>
          <w:rFonts w:ascii="Times New Roman" w:eastAsia="仿宋_GB2312" w:hAnsi="Times New Roman" w:cstheme="minorBidi"/>
          <w:sz w:val="28"/>
          <w:szCs w:val="28"/>
        </w:rPr>
        <w:t>）高寒高海拔气候区多能互补及太阳能集中供暖示范应用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Times New Roman" w:eastAsia="仿宋_GB2312" w:hAnsi="Times New Roman" w:cstheme="minorBidi" w:hint="default"/>
          <w:b/>
          <w:bCs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5.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新型化学电源系统及相关新材料的研发与示范推广</w:t>
      </w:r>
    </w:p>
    <w:p w:rsidR="009A230D" w:rsidRDefault="00783A0A">
      <w:pPr>
        <w:pStyle w:val="a5"/>
        <w:widowControl/>
        <w:spacing w:line="500" w:lineRule="exact"/>
        <w:ind w:firstLine="562"/>
        <w:rPr>
          <w:rFonts w:ascii="Times New Roman" w:eastAsia="仿宋_GB2312" w:hAnsi="Times New Roman" w:cstheme="minorBidi" w:hint="default"/>
          <w:sz w:val="28"/>
          <w:szCs w:val="28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6.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非常规天然气液化装备与产业化</w:t>
      </w:r>
    </w:p>
    <w:p w:rsidR="009A230D" w:rsidRDefault="00783A0A">
      <w:pPr>
        <w:widowControl/>
        <w:spacing w:line="500" w:lineRule="exact"/>
        <w:ind w:firstLineChars="200" w:firstLine="562"/>
        <w:rPr>
          <w:rFonts w:ascii="宋体" w:hAnsi="宋体" w:cs="宋体" w:hint="default"/>
          <w:kern w:val="0"/>
          <w:sz w:val="24"/>
          <w:szCs w:val="24"/>
        </w:rPr>
      </w:pP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7.</w:t>
      </w:r>
      <w:r>
        <w:rPr>
          <w:rFonts w:ascii="Times New Roman" w:eastAsia="仿宋_GB2312" w:hAnsi="Times New Roman" w:cstheme="minorBidi"/>
          <w:b/>
          <w:bCs/>
          <w:sz w:val="28"/>
          <w:szCs w:val="28"/>
        </w:rPr>
        <w:t>低成本节能系列冷链装备研制与示范</w:t>
      </w:r>
    </w:p>
    <w:sectPr w:rsidR="009A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61A8F24"/>
    <w:lvl w:ilvl="0" w:tplc="BBF0A0D6">
      <w:start w:val="5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0000002"/>
    <w:multiLevelType w:val="hybridMultilevel"/>
    <w:tmpl w:val="1A00CE4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B44CDD0"/>
    <w:lvl w:ilvl="0" w:tplc="008EA266">
      <w:start w:val="5"/>
      <w:numFmt w:val="decimal"/>
      <w:lvlText w:val="%1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0000004"/>
    <w:multiLevelType w:val="hybridMultilevel"/>
    <w:tmpl w:val="CD5CD07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05"/>
    <w:multiLevelType w:val="hybridMultilevel"/>
    <w:tmpl w:val="C30C1DBC"/>
    <w:lvl w:ilvl="0" w:tplc="9650F79C">
      <w:start w:val="5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65617DD5"/>
    <w:multiLevelType w:val="hybridMultilevel"/>
    <w:tmpl w:val="4E2C7324"/>
    <w:lvl w:ilvl="0" w:tplc="136ED67E">
      <w:start w:val="7"/>
      <w:numFmt w:val="decimal"/>
      <w:lvlText w:val="%1、"/>
      <w:lvlJc w:val="left"/>
      <w:pPr>
        <w:ind w:left="1006" w:hanging="444"/>
      </w:pPr>
      <w:rPr>
        <w:rFonts w:ascii="Times New Roman" w:eastAsia="仿宋_GB2312" w:hAnsi="Times New Roman" w:cstheme="minorBid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D"/>
    <w:rsid w:val="00783A0A"/>
    <w:rsid w:val="00882515"/>
    <w:rsid w:val="009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uiPriority w:val="99"/>
    <w:rPr>
      <w:sz w:val="21"/>
      <w:szCs w:val="21"/>
    </w:rPr>
  </w:style>
  <w:style w:type="paragraph" w:styleId="a7">
    <w:name w:val="annotation text"/>
    <w:basedOn w:val="a"/>
    <w:link w:val="Char1"/>
    <w:uiPriority w:val="99"/>
    <w:pPr>
      <w:jc w:val="left"/>
    </w:pPr>
  </w:style>
  <w:style w:type="character" w:customStyle="1" w:styleId="Char1">
    <w:name w:val="批注文字 Char"/>
    <w:basedOn w:val="a0"/>
    <w:link w:val="a7"/>
    <w:uiPriority w:val="99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rPr>
      <w:b/>
      <w:bCs/>
    </w:rPr>
  </w:style>
  <w:style w:type="character" w:customStyle="1" w:styleId="Char2">
    <w:name w:val="批注主题 Char"/>
    <w:basedOn w:val="Char1"/>
    <w:link w:val="a8"/>
    <w:uiPriority w:val="99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annotationtext">
    <w:name w:val="&quot;annotation text&quot;"/>
    <w:pPr>
      <w:widowControl w:val="0"/>
    </w:pPr>
    <w:rPr>
      <w:rFonts w:ascii="Calibri" w:eastAsia="宋体" w:hAnsi="Calibri" w:cs="Times New Roman" w:hint="eastAsia"/>
    </w:rPr>
  </w:style>
  <w:style w:type="paragraph" w:customStyle="1" w:styleId="annotationsubject">
    <w:name w:val="&quot;annotation subject&quot;"/>
    <w:basedOn w:val="annotationtext"/>
    <w:rPr>
      <w:b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ascii="Calibri" w:eastAsia="宋体" w:hAnsi="Calibri" w:cs="Times New Roman" w:hint="eastAsia"/>
      <w:sz w:val="18"/>
      <w:szCs w:val="18"/>
    </w:rPr>
  </w:style>
  <w:style w:type="paragraph" w:customStyle="1" w:styleId="BalloonText">
    <w:name w:val="&quot;Balloon Text&quot;"/>
    <w:pPr>
      <w:widowControl w:val="0"/>
      <w:jc w:val="both"/>
    </w:pPr>
    <w:rPr>
      <w:rFonts w:ascii="Calibri" w:eastAsia="宋体" w:hAnsi="Calibri" w:cs="Times New Roman" w:hint="eastAsia"/>
      <w:sz w:val="18"/>
      <w:szCs w:val="18"/>
    </w:rPr>
  </w:style>
  <w:style w:type="paragraph" w:customStyle="1" w:styleId="ListParagraph">
    <w:name w:val="&quot;List Paragraph&quot;"/>
    <w:qFormat/>
    <w:pPr>
      <w:widowControl w:val="0"/>
      <w:ind w:firstLineChars="200" w:firstLine="420"/>
      <w:jc w:val="both"/>
    </w:pPr>
    <w:rPr>
      <w:rFonts w:ascii="Calibri" w:eastAsia="宋体" w:hAnsi="Calibri" w:cs="Times New Roman" w:hint="eastAsia"/>
    </w:rPr>
  </w:style>
  <w:style w:type="paragraph" w:customStyle="1" w:styleId="toc1">
    <w:name w:val="&quot;toc 1&quot;"/>
    <w:pPr>
      <w:widowControl w:val="0"/>
      <w:jc w:val="both"/>
    </w:pPr>
    <w:rPr>
      <w:rFonts w:ascii="Calibri" w:eastAsia="宋体" w:hAnsi="Calibri" w:cs="Times New Roman" w:hint="eastAsia"/>
    </w:rPr>
  </w:style>
  <w:style w:type="paragraph" w:customStyle="1" w:styleId="header">
    <w:name w:val="&quot;header&quot;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eastAsia="宋体" w:hAnsi="Calibri" w:cs="Times New Roman" w:hint="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uiPriority w:val="99"/>
    <w:rPr>
      <w:sz w:val="21"/>
      <w:szCs w:val="21"/>
    </w:rPr>
  </w:style>
  <w:style w:type="paragraph" w:styleId="a7">
    <w:name w:val="annotation text"/>
    <w:basedOn w:val="a"/>
    <w:link w:val="Char1"/>
    <w:uiPriority w:val="99"/>
    <w:pPr>
      <w:jc w:val="left"/>
    </w:pPr>
  </w:style>
  <w:style w:type="character" w:customStyle="1" w:styleId="Char1">
    <w:name w:val="批注文字 Char"/>
    <w:basedOn w:val="a0"/>
    <w:link w:val="a7"/>
    <w:uiPriority w:val="99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rPr>
      <w:b/>
      <w:bCs/>
    </w:rPr>
  </w:style>
  <w:style w:type="character" w:customStyle="1" w:styleId="Char2">
    <w:name w:val="批注主题 Char"/>
    <w:basedOn w:val="Char1"/>
    <w:link w:val="a8"/>
    <w:uiPriority w:val="99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annotationtext">
    <w:name w:val="&quot;annotation text&quot;"/>
    <w:pPr>
      <w:widowControl w:val="0"/>
    </w:pPr>
    <w:rPr>
      <w:rFonts w:ascii="Calibri" w:eastAsia="宋体" w:hAnsi="Calibri" w:cs="Times New Roman" w:hint="eastAsia"/>
    </w:rPr>
  </w:style>
  <w:style w:type="paragraph" w:customStyle="1" w:styleId="annotationsubject">
    <w:name w:val="&quot;annotation subject&quot;"/>
    <w:basedOn w:val="annotationtext"/>
    <w:rPr>
      <w:b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ascii="Calibri" w:eastAsia="宋体" w:hAnsi="Calibri" w:cs="Times New Roman" w:hint="eastAsia"/>
      <w:sz w:val="18"/>
      <w:szCs w:val="18"/>
    </w:rPr>
  </w:style>
  <w:style w:type="paragraph" w:customStyle="1" w:styleId="BalloonText">
    <w:name w:val="&quot;Balloon Text&quot;"/>
    <w:pPr>
      <w:widowControl w:val="0"/>
      <w:jc w:val="both"/>
    </w:pPr>
    <w:rPr>
      <w:rFonts w:ascii="Calibri" w:eastAsia="宋体" w:hAnsi="Calibri" w:cs="Times New Roman" w:hint="eastAsia"/>
      <w:sz w:val="18"/>
      <w:szCs w:val="18"/>
    </w:rPr>
  </w:style>
  <w:style w:type="paragraph" w:customStyle="1" w:styleId="ListParagraph">
    <w:name w:val="&quot;List Paragraph&quot;"/>
    <w:qFormat/>
    <w:pPr>
      <w:widowControl w:val="0"/>
      <w:ind w:firstLineChars="200" w:firstLine="420"/>
      <w:jc w:val="both"/>
    </w:pPr>
    <w:rPr>
      <w:rFonts w:ascii="Calibri" w:eastAsia="宋体" w:hAnsi="Calibri" w:cs="Times New Roman" w:hint="eastAsia"/>
    </w:rPr>
  </w:style>
  <w:style w:type="paragraph" w:customStyle="1" w:styleId="toc1">
    <w:name w:val="&quot;toc 1&quot;"/>
    <w:pPr>
      <w:widowControl w:val="0"/>
      <w:jc w:val="both"/>
    </w:pPr>
    <w:rPr>
      <w:rFonts w:ascii="Calibri" w:eastAsia="宋体" w:hAnsi="Calibri" w:cs="Times New Roman" w:hint="eastAsia"/>
    </w:rPr>
  </w:style>
  <w:style w:type="paragraph" w:customStyle="1" w:styleId="header">
    <w:name w:val="&quot;header&quot;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eastAsia="宋体" w:hAnsi="Calibri" w:cs="Times New Roman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>BIO.CAS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</dc:creator>
  <cp:lastModifiedBy>马月红</cp:lastModifiedBy>
  <cp:revision>2</cp:revision>
  <dcterms:created xsi:type="dcterms:W3CDTF">2016-06-23T05:32:00Z</dcterms:created>
  <dcterms:modified xsi:type="dcterms:W3CDTF">2016-06-23T05:32:00Z</dcterms:modified>
</cp:coreProperties>
</file>