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A9595" w14:textId="00DFDC94" w:rsidR="00212CA6" w:rsidRPr="00212CA6" w:rsidRDefault="00212CA6" w:rsidP="00212CA6">
      <w:pPr>
        <w:spacing w:line="72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212CA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附件</w:t>
      </w:r>
      <w:r w:rsidRPr="00212CA6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4</w:t>
      </w:r>
    </w:p>
    <w:p w14:paraId="0CEB2BE8" w14:textId="020B226B" w:rsidR="00C67699" w:rsidRPr="00BE22A6" w:rsidRDefault="00C67699" w:rsidP="001547A4">
      <w:pPr>
        <w:spacing w:line="720" w:lineRule="exact"/>
        <w:jc w:val="center"/>
        <w:rPr>
          <w:rFonts w:ascii="方正小标宋简体" w:eastAsia="方正小标宋简体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F06FEF">
        <w:rPr>
          <w:rFonts w:ascii="方正小标宋简体" w:eastAsia="方正小标宋简体" w:hAnsi="Times New Roman" w:cs="Times New Roman" w:hint="eastAsia"/>
          <w:b/>
          <w:color w:val="000000" w:themeColor="text1"/>
          <w:sz w:val="44"/>
          <w:szCs w:val="44"/>
          <w:shd w:val="clear" w:color="auto" w:fill="FFFFFF"/>
        </w:rPr>
        <w:t>高性能电机与高档数控机床专项</w:t>
      </w:r>
      <w:r w:rsidR="00C07DD8" w:rsidRPr="00FE5F8A"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  <w:t>申报指南</w:t>
      </w:r>
      <w:bookmarkStart w:id="0" w:name="_GoBack"/>
      <w:bookmarkEnd w:id="0"/>
    </w:p>
    <w:p w14:paraId="35002B37" w14:textId="0FD4EF48" w:rsidR="00C67699" w:rsidRPr="00016FA9" w:rsidRDefault="00C67699" w:rsidP="001547A4">
      <w:pPr>
        <w:spacing w:line="720" w:lineRule="exact"/>
        <w:jc w:val="center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14:paraId="69549CD0" w14:textId="77777777" w:rsidR="00C67699" w:rsidRPr="001547A4" w:rsidRDefault="00C67699" w:rsidP="001547A4">
      <w:pPr>
        <w:adjustRightInd w:val="0"/>
        <w:snapToGrid w:val="0"/>
        <w:spacing w:line="580" w:lineRule="exact"/>
        <w:ind w:firstLine="640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1547A4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一、产业化示范项目</w:t>
      </w:r>
    </w:p>
    <w:p w14:paraId="23CF0B3D" w14:textId="77777777" w:rsidR="00593359" w:rsidRPr="00E76B9C" w:rsidRDefault="00593359" w:rsidP="001547A4">
      <w:pPr>
        <w:adjustRightInd w:val="0"/>
        <w:snapToGrid w:val="0"/>
        <w:spacing w:line="580" w:lineRule="exact"/>
        <w:ind w:firstLine="640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/>
        </w:rPr>
        <w:t>1</w:t>
      </w:r>
      <w:r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/>
        </w:rPr>
        <w:t>、</w:t>
      </w: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/>
        </w:rPr>
        <w:t>多工序一体化精密数控车</w:t>
      </w:r>
      <w:proofErr w:type="gramStart"/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/>
        </w:rPr>
        <w:t>铣</w:t>
      </w:r>
      <w:proofErr w:type="gramEnd"/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  <w:shd w:val="clear" w:color="auto" w:fill="FFFFFF"/>
        </w:rPr>
        <w:t>加工中心研发及应用</w:t>
      </w:r>
    </w:p>
    <w:p w14:paraId="58EEED57" w14:textId="66AA44FE" w:rsidR="00593359" w:rsidRPr="00016FA9" w:rsidRDefault="00593359" w:rsidP="001547A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研究内容：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研究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多工序一体化数控车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铣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加工中心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的整机优化设计，关键部件结构静力、强度、模态的分析与优化，提高动静态刚度与整机固有频率；研究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电主轴用高速驱动电机设计与拓扑结构优化、热效应分析与管理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电主轴部件设计，确保电主轴满足高速、高精密切削要求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；研究控制系统软件加工功能模块，完成多工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序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复合加工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中心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系统集成；成功开发出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通过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一次装夹即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可实现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车、</w:t>
      </w:r>
      <w:proofErr w:type="gramStart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铣</w:t>
      </w:r>
      <w:proofErr w:type="gramEnd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、钻、</w:t>
      </w:r>
      <w:proofErr w:type="gramStart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攻等多</w:t>
      </w:r>
      <w:proofErr w:type="gramEnd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工序加工能力的复合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数控机床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，实现</w:t>
      </w:r>
      <w:proofErr w:type="gramStart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各种轴件的</w:t>
      </w:r>
      <w:proofErr w:type="gramEnd"/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高效高精度大批量加工生产。</w:t>
      </w:r>
    </w:p>
    <w:p w14:paraId="6113F5B3" w14:textId="77777777" w:rsidR="00593359" w:rsidRPr="00016FA9" w:rsidRDefault="00593359" w:rsidP="001547A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考核指标：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E738143" w14:textId="3C7D3379" w:rsidR="00BB2E07" w:rsidRPr="00BB2E07" w:rsidRDefault="00BB2E07" w:rsidP="001547A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X/Y/Z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最大移动距离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210/160/330mm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，最大移动速度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24/32/32m/min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主轴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/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副主轴最高转速：≥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12000r/min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proofErr w:type="gramStart"/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各轴重复</w:t>
      </w:r>
      <w:proofErr w:type="gramEnd"/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定位精度：±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0.003mm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正副主轴中心线偏差：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0.01mm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正副主轴摆动：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0.005mm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proofErr w:type="gramStart"/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实现五轴联动</w:t>
      </w:r>
      <w:proofErr w:type="gramEnd"/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1E32B239" w14:textId="26A5E5DC" w:rsidR="00593359" w:rsidRPr="00016FA9" w:rsidRDefault="00BB2E07" w:rsidP="001547A4">
      <w:pPr>
        <w:adjustRightInd w:val="0"/>
        <w:snapToGrid w:val="0"/>
        <w:spacing w:line="580" w:lineRule="exact"/>
        <w:ind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）执行期内实现总产值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5000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万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元；申请发明专利不少于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件；制定企业标准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项以上；培养工程技术人员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名，研究生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BB2E07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名。</w:t>
      </w:r>
    </w:p>
    <w:p w14:paraId="46C23744" w14:textId="19EC0795" w:rsidR="00593359" w:rsidRPr="00016FA9" w:rsidRDefault="00593359" w:rsidP="001547A4">
      <w:pPr>
        <w:spacing w:line="58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lastRenderedPageBreak/>
        <w:t>有关说明：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要求企业牵头，鼓励企业与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高校、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科研院所联合申报。财政补助原则上不超过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1000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20%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。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（指南编写专家：王刚、张驰、李国平）</w:t>
      </w:r>
    </w:p>
    <w:p w14:paraId="4F789273" w14:textId="77777777" w:rsidR="00F06FEF" w:rsidRDefault="00F06FEF" w:rsidP="001547A4">
      <w:pPr>
        <w:spacing w:line="580" w:lineRule="exact"/>
        <w:ind w:left="640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</w:p>
    <w:p w14:paraId="1DA7F34B" w14:textId="0910BAFA" w:rsidR="00593359" w:rsidRPr="00E76B9C" w:rsidRDefault="0075595D" w:rsidP="001547A4">
      <w:pPr>
        <w:spacing w:line="580" w:lineRule="exact"/>
        <w:ind w:left="640"/>
        <w:jc w:val="left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2</w:t>
      </w:r>
      <w:r w:rsidR="00593359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、高效轻量化增程式起动发电机研发及应用</w:t>
      </w:r>
    </w:p>
    <w:p w14:paraId="4F2D376C" w14:textId="77777777" w:rsidR="00593359" w:rsidRPr="00016FA9" w:rsidRDefault="00593359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研究内容：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研究宽高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效区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的起动发电机电磁设计，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建立场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路耦合分析模型；研究损耗的精确计算和高效散热技术，提高发电功率；研究电机轻量化结构拓扑优化设计，提高比功率；研究结构强度和振动模态分析与优化方法，转动惯量与机械时间常数优化设计；研究起动发电机的精益化批量生产关键工艺和制造技术，保证电机质量可靠性和一致性，达到汽车电机的质量保证要求。</w:t>
      </w:r>
    </w:p>
    <w:p w14:paraId="14B40666" w14:textId="77777777" w:rsidR="00593359" w:rsidRPr="00016FA9" w:rsidRDefault="00593359" w:rsidP="001547A4">
      <w:pPr>
        <w:adjustRightInd w:val="0"/>
        <w:snapToGrid w:val="0"/>
        <w:spacing w:line="580" w:lineRule="exact"/>
        <w:ind w:firstLine="600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考核指标：</w:t>
      </w: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59663A90" w14:textId="1B7EDE3A" w:rsidR="00593359" w:rsidRPr="00016FA9" w:rsidRDefault="00593359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）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连续发电功率≥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60kW@30min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峰值发电功率≥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84kW@10s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效率大于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90%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高效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发电区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80%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峰值效率≥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94.5%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总重量≤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4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kg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41E19967" w14:textId="77777777" w:rsidR="00593359" w:rsidRPr="00016FA9" w:rsidRDefault="00593359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）年产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万台套以上，销售额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亿元以上；申请发明专利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项，实用新型专利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项；发表论文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篇。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6AE7413" w14:textId="749D06B3" w:rsidR="00593359" w:rsidRPr="00016FA9" w:rsidRDefault="00593359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6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：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仇一鸣、王刚、李国平）</w:t>
      </w:r>
    </w:p>
    <w:p w14:paraId="5F971AAB" w14:textId="77777777" w:rsidR="00F06FEF" w:rsidRDefault="00F06FEF" w:rsidP="001547A4">
      <w:pPr>
        <w:spacing w:beforeLines="50" w:before="156" w:afterLines="50" w:after="156" w:line="580" w:lineRule="exact"/>
        <w:ind w:left="641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</w:p>
    <w:p w14:paraId="5A90D74D" w14:textId="4AC16EB8" w:rsidR="0075595D" w:rsidRPr="00E76B9C" w:rsidRDefault="0075595D" w:rsidP="001547A4">
      <w:pPr>
        <w:spacing w:beforeLines="50" w:before="156" w:afterLines="50" w:after="156" w:line="580" w:lineRule="exact"/>
        <w:ind w:left="641"/>
        <w:jc w:val="left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lastRenderedPageBreak/>
        <w:t>3</w:t>
      </w: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、高性能水下推进电机及推进系统的研发及产业化</w:t>
      </w:r>
    </w:p>
    <w:p w14:paraId="01A08842" w14:textId="77777777" w:rsidR="0075595D" w:rsidRPr="00016FA9" w:rsidRDefault="0075595D" w:rsidP="001547A4">
      <w:pPr>
        <w:adjustRightInd w:val="0"/>
        <w:snapToGrid w:val="0"/>
        <w:spacing w:line="580" w:lineRule="exact"/>
        <w:ind w:firstLine="600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研究内容：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研究高效、高功率密度、低转矩脉动永磁同步电机设计方法；低振动、低噪音永磁同步电机优化设计及有轴推进器实现技术；低成本高性能有轴推进电机控制器设计与开发；研究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无轴推进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电机及推进器的高效设计及无传感控制策略，研发驱动控制器；研究水下电机的动静态密封技术；研究高功率密度船用推进器产业化制造工艺，建立示范线。</w:t>
      </w:r>
    </w:p>
    <w:p w14:paraId="0697F2F1" w14:textId="77777777" w:rsidR="0075595D" w:rsidRPr="00016FA9" w:rsidRDefault="0075595D" w:rsidP="001547A4">
      <w:pPr>
        <w:adjustRightInd w:val="0"/>
        <w:snapToGrid w:val="0"/>
        <w:spacing w:line="580" w:lineRule="exact"/>
        <w:ind w:firstLine="600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考核指标：</w:t>
      </w:r>
    </w:p>
    <w:p w14:paraId="0E4FCC6A" w14:textId="461CBF15" w:rsidR="0075595D" w:rsidRPr="00016FA9" w:rsidRDefault="0075595D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）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有轴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推进电机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及推进器功率覆盖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0.4kW~10kW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，至少三个规格，电机和控制器的系统效率≥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92%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，密封性能达到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IPX8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水平，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MTBF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2000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小时；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无轴推进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电机及推进器功率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15kW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 w:rsidR="00720316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电机和控制器的系统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效率≥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9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%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，推力≥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2000N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2661BAB6" w14:textId="77777777" w:rsidR="0075595D" w:rsidRPr="00016FA9" w:rsidRDefault="0075595D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）年产值达到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亿元；申请专利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项，其中发明专利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项；发表论文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篇。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9569B4F" w14:textId="41D6E5A3" w:rsidR="0075595D" w:rsidRPr="00016FA9" w:rsidRDefault="0075595D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6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：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屈稳太、张驰、仇一鸣）</w:t>
      </w:r>
    </w:p>
    <w:p w14:paraId="42E70A9B" w14:textId="77777777" w:rsidR="00F06FEF" w:rsidRDefault="00F06FEF" w:rsidP="001547A4">
      <w:pPr>
        <w:spacing w:beforeLines="50" w:before="156" w:afterLines="50" w:after="156" w:line="580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</w:p>
    <w:p w14:paraId="28502C3B" w14:textId="028FA1EE" w:rsidR="00872753" w:rsidRPr="00E76B9C" w:rsidRDefault="00593359" w:rsidP="001547A4">
      <w:pPr>
        <w:spacing w:beforeLines="50" w:before="156" w:afterLines="50" w:after="156" w:line="580" w:lineRule="exact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4</w:t>
      </w:r>
      <w:r w:rsidR="00C137B3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、</w:t>
      </w: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高功率/力矩密度低噪声家用电器</w:t>
      </w:r>
      <w:r w:rsidR="00872753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电机研发及产业化</w:t>
      </w:r>
    </w:p>
    <w:p w14:paraId="26BD9C7E" w14:textId="164F795E" w:rsidR="00872753" w:rsidRPr="00016FA9" w:rsidRDefault="00872753" w:rsidP="001547A4">
      <w:pPr>
        <w:autoSpaceDE w:val="0"/>
        <w:autoSpaceDN w:val="0"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研究内容：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家用电器用</w:t>
      </w:r>
      <w:r w:rsidR="00F42F85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直驱电机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或无刷直流电机的电磁与拓扑结构优化设计，提高电机功率密度，减小转矩脉动；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无刷永磁电机径向电磁力、转矩脉动等对电机振动与噪声的影响；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高稳定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性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、低成本的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家用电器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电机驱动控制系统设计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方法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实现转速的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精确控制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提高转矩输出平稳性，抑制电机的振动和噪声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B60BA2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家用电器</w:t>
      </w:r>
      <w:r w:rsidR="00B60BA2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电机的产业化制造工艺和生产线，实现大批量生产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3783D95C" w14:textId="77777777" w:rsidR="00F42F85" w:rsidRPr="00016FA9" w:rsidRDefault="00872753" w:rsidP="001547A4">
      <w:pPr>
        <w:autoSpaceDE w:val="0"/>
        <w:autoSpaceDN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考核指标：</w:t>
      </w:r>
    </w:p>
    <w:p w14:paraId="02A6565D" w14:textId="4E8E48DF" w:rsidR="00F42F85" w:rsidRPr="00016FA9" w:rsidRDefault="00F42F85" w:rsidP="001547A4">
      <w:pPr>
        <w:autoSpaceDE w:val="0"/>
        <w:autoSpaceDN w:val="0"/>
        <w:spacing w:line="580" w:lineRule="exact"/>
        <w:ind w:firstLineChars="250" w:firstLine="8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(1) 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直驱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电机输出功率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300W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C85CD0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转速</w:t>
      </w:r>
      <w:r w:rsidR="007B27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运行范围</w:t>
      </w:r>
      <w:r w:rsidR="007B27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="007B2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0rpm</w:t>
      </w:r>
      <w:r w:rsidR="007B27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-</w:t>
      </w:r>
      <w:r w:rsidR="007B2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1200rpm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75595D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峰值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扭矩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7B2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N</w:t>
      </w:r>
      <w:r w:rsidR="00C85CD0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m</w:t>
      </w:r>
      <w:r w:rsidR="00C85CD0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（持续时间</w:t>
      </w:r>
      <w:r w:rsidR="00C85CD0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10s</w:t>
      </w:r>
      <w:r w:rsidR="00C85CD0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3565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最大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效率</w:t>
      </w:r>
      <w:r w:rsidR="00720316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＞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 w:rsidR="007B2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%</w:t>
      </w:r>
      <w:r w:rsidR="00593359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 w:rsidR="003565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电机</w:t>
      </w:r>
      <w:r w:rsidR="00720316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峰值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力矩密度</w:t>
      </w:r>
      <w:r w:rsidR="00C85CD0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≥</w:t>
      </w:r>
      <w:r w:rsidR="00BB1AED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 w:rsidR="00BB1AE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.</w:t>
      </w:r>
      <w:r w:rsidR="007B27F0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="00BB1AED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C85CD0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N.m</w:t>
      </w:r>
      <w:proofErr w:type="spellEnd"/>
      <w:r w:rsidR="00C85CD0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/kg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无刷直流电机功率＜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1kW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，额定转速＜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5000rpm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，额定功率密度≥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0.8kW/kg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；电机运行噪声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45</w:t>
      </w:r>
      <w:r w:rsidR="00593359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分贝以下。</w:t>
      </w:r>
    </w:p>
    <w:p w14:paraId="53294512" w14:textId="039D1360" w:rsidR="00872753" w:rsidRPr="00016FA9" w:rsidRDefault="00F42F85" w:rsidP="001547A4">
      <w:pPr>
        <w:autoSpaceDE w:val="0"/>
        <w:autoSpaceDN w:val="0"/>
        <w:spacing w:line="580" w:lineRule="exact"/>
        <w:ind w:firstLineChars="250" w:firstLine="8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(2) 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实现销售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亿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元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，利税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6000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万元</w:t>
      </w:r>
      <w:r w:rsidR="00E24D6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申请发明专利</w:t>
      </w:r>
      <w:r w:rsidR="0075595D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项，实用新型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项，软件著作权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71F270F4" w14:textId="35E58C20" w:rsidR="009B5BEA" w:rsidRPr="00016FA9" w:rsidRDefault="00872753" w:rsidP="001547A4">
      <w:pPr>
        <w:autoSpaceDE w:val="0"/>
        <w:autoSpaceDN w:val="0"/>
        <w:spacing w:line="580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4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编写专家：</w:t>
      </w:r>
      <w:r w:rsidR="00B60BA2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王刚、李国平、仇一鸣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）</w:t>
      </w:r>
    </w:p>
    <w:p w14:paraId="348EB925" w14:textId="77777777" w:rsidR="00F06FEF" w:rsidRDefault="00F06FEF" w:rsidP="001547A4">
      <w:pPr>
        <w:spacing w:afterLines="50" w:after="156" w:line="580" w:lineRule="exact"/>
        <w:ind w:left="641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</w:p>
    <w:p w14:paraId="56A88EAB" w14:textId="2C3AFEB2" w:rsidR="009F0097" w:rsidRPr="00E76B9C" w:rsidRDefault="0075595D" w:rsidP="001547A4">
      <w:pPr>
        <w:spacing w:afterLines="50" w:after="156" w:line="580" w:lineRule="exact"/>
        <w:ind w:left="641"/>
        <w:jc w:val="left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5</w:t>
      </w:r>
      <w:r w:rsidR="00C137B3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、</w:t>
      </w:r>
      <w:r w:rsidR="009F0097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高精度伺服电机及控制系统</w:t>
      </w:r>
    </w:p>
    <w:p w14:paraId="1B7610F0" w14:textId="326CD7AC" w:rsidR="009F0097" w:rsidRPr="00016FA9" w:rsidRDefault="009F0097" w:rsidP="001547A4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研究内容：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研究高功率密度、高精度的永磁伺服电机的结构设计以及制造、材料工艺和技术；研究高精度的永磁伺服电机先进的矢量控制算法</w:t>
      </w:r>
      <w:r w:rsidR="0001727B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高动态响应的电流环算法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高精度的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转速环</w:t>
      </w:r>
      <w:r w:rsidR="0001727B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位置环算法</w:t>
      </w:r>
      <w:proofErr w:type="gramEnd"/>
      <w:r w:rsidR="0001727B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与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能适应多种传感器的接口技术；研究电机参数的在线动态辨识技术及其自适应控制技术，提高电机对环境的适应能力；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研究通用的网络通信接口技术</w:t>
      </w:r>
      <w:r w:rsidR="0001727B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，构建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伺服电机的在线调试软件平台，解决伺服电机现场运行调试的复杂性</w:t>
      </w:r>
      <w:r w:rsidR="00F42F85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  <w:r w:rsidR="00F42F85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6AC67AA2" w14:textId="645C523B" w:rsidR="00F42F85" w:rsidRPr="00016FA9" w:rsidRDefault="009F0097" w:rsidP="001547A4">
      <w:pPr>
        <w:adjustRightInd w:val="0"/>
        <w:snapToGrid w:val="0"/>
        <w:spacing w:line="580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考核指标：</w:t>
      </w:r>
    </w:p>
    <w:p w14:paraId="5190931C" w14:textId="08FC9826" w:rsidR="00F42F85" w:rsidRPr="00016FA9" w:rsidRDefault="00F42F85" w:rsidP="00E24D6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）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伺服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电机：功率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100W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sym w:font="Symbol" w:char="F07E"/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7.5kW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可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三倍过载；转矩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脉动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&lt;0.</w:t>
      </w:r>
      <w:r w:rsidR="0001727B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%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；伺服驱动器稳态速度精度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&lt;=0.2%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@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负载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0~100%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）；位置控制精度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0.02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度；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启动转矩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倍过载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，转矩响应时间小于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1ms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，转矩控制精度小于</w:t>
      </w:r>
      <w:r w:rsidR="005657CC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%</w:t>
      </w:r>
      <w:r w:rsidR="00B8729F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具有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CAN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或者</w:t>
      </w:r>
      <w:proofErr w:type="spellStart"/>
      <w:r w:rsidR="009F0097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EtherCAT</w:t>
      </w:r>
      <w:proofErr w:type="spellEnd"/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通信接口</w:t>
      </w:r>
      <w:r w:rsidR="00B8729F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</w:p>
    <w:p w14:paraId="79C6C987" w14:textId="13921F29" w:rsidR="009F0097" w:rsidRPr="00016FA9" w:rsidRDefault="00B8729F" w:rsidP="00E24D69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）项目执行期内销售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亿元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申请发明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专利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6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项以上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发表论文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篇以上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；培养电机设计工程师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人，驱动器软硬件设计工程师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2</w:t>
      </w:r>
      <w:r w:rsidR="009F0097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  <w:r w:rsidR="00E9018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93BB852" w14:textId="4DB6373A" w:rsidR="00E90183" w:rsidRDefault="00E90183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6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：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屈稳太、仇一鸣、王刚）</w:t>
      </w:r>
    </w:p>
    <w:p w14:paraId="63F482A1" w14:textId="77777777" w:rsidR="00E24D69" w:rsidRPr="00016FA9" w:rsidRDefault="00E24D69" w:rsidP="001547A4">
      <w:pPr>
        <w:adjustRightInd w:val="0"/>
        <w:snapToGrid w:val="0"/>
        <w:spacing w:line="580" w:lineRule="exact"/>
        <w:ind w:firstLine="600"/>
        <w:rPr>
          <w:rFonts w:asciiTheme="minorEastAsia" w:hAnsiTheme="minorEastAsia" w:cs="Times New Roman"/>
          <w:color w:val="000000" w:themeColor="text1"/>
          <w:sz w:val="28"/>
          <w:szCs w:val="28"/>
          <w:shd w:val="clear" w:color="auto" w:fill="FFFFFF"/>
        </w:rPr>
      </w:pPr>
    </w:p>
    <w:p w14:paraId="1FBA6694" w14:textId="77777777" w:rsidR="0000235C" w:rsidRPr="00E24D69" w:rsidRDefault="001549AA" w:rsidP="001547A4">
      <w:pPr>
        <w:adjustRightInd w:val="0"/>
        <w:snapToGrid w:val="0"/>
        <w:spacing w:beforeLines="50" w:before="156" w:afterLines="50" w:after="156" w:line="580" w:lineRule="exact"/>
        <w:ind w:firstLine="641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E24D69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二、</w:t>
      </w:r>
      <w:r w:rsidR="0000235C" w:rsidRPr="00E24D69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技术攻关项目</w:t>
      </w:r>
    </w:p>
    <w:p w14:paraId="026D2FD4" w14:textId="184CF159" w:rsidR="00872753" w:rsidRPr="00E76B9C" w:rsidRDefault="00CF3F5A" w:rsidP="001547A4">
      <w:pPr>
        <w:adjustRightInd w:val="0"/>
        <w:snapToGrid w:val="0"/>
        <w:spacing w:beforeLines="50" w:before="156" w:afterLines="50" w:after="156" w:line="580" w:lineRule="exact"/>
        <w:ind w:firstLine="601"/>
        <w:rPr>
          <w:rFonts w:ascii="楷体" w:eastAsia="楷体" w:hAnsi="楷体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6</w:t>
      </w:r>
      <w:r w:rsidR="004B23C1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、</w:t>
      </w:r>
      <w:proofErr w:type="gramStart"/>
      <w:r w:rsidR="00872753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高档五轴联动</w:t>
      </w:r>
      <w:proofErr w:type="gramEnd"/>
      <w:r w:rsidR="00872753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数控机床高速高精度直驱摆头研制</w:t>
      </w:r>
    </w:p>
    <w:p w14:paraId="5E97C1C4" w14:textId="5D1D1175" w:rsidR="00872753" w:rsidRPr="00016FA9" w:rsidRDefault="00872753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研究内容：</w:t>
      </w:r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研究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A/C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轴用</w:t>
      </w:r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永磁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力矩电机</w:t>
      </w:r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低转矩脉动优化设计方法，摆头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拓扑结构优化、流体热及机械热变形分析和不同角度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lastRenderedPageBreak/>
        <w:t>下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刚度场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分析等技术，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确保五轴摆头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在多工况下精度稳定可靠；</w:t>
      </w:r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研究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高性能电主轴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与五轴摆头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匹配关系，分析切削及</w:t>
      </w:r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空运转下电主轴</w:t>
      </w:r>
      <w:proofErr w:type="gramStart"/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与五轴摆头</w:t>
      </w:r>
      <w:proofErr w:type="gramEnd"/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模态及温度场匹配，避免切削共振和热变形；研制具有自主知识产权</w:t>
      </w:r>
      <w:proofErr w:type="gramStart"/>
      <w:r w:rsidR="004B23C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的</w:t>
      </w:r>
      <w:r w:rsidR="0021444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五轴数控</w:t>
      </w:r>
      <w:proofErr w:type="gramEnd"/>
      <w:r w:rsidR="0021444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龙门加工中心</w:t>
      </w:r>
      <w:proofErr w:type="gramStart"/>
      <w:r w:rsidR="0021444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用五轴摆头</w:t>
      </w:r>
      <w:proofErr w:type="gramEnd"/>
      <w:r w:rsidR="00214441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，并实现应用。</w:t>
      </w:r>
    </w:p>
    <w:p w14:paraId="3AD08356" w14:textId="77777777" w:rsidR="00875B21" w:rsidRPr="00016FA9" w:rsidRDefault="00872753" w:rsidP="001547A4">
      <w:pPr>
        <w:adjustRightInd w:val="0"/>
        <w:snapToGrid w:val="0"/>
        <w:spacing w:line="580" w:lineRule="exact"/>
        <w:ind w:firstLine="600"/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楷体_GB2312" w:eastAsia="楷体_GB2312" w:hAnsi="Times New Roman" w:cs="Times New Roman" w:hint="eastAsia"/>
          <w:b/>
          <w:color w:val="000000" w:themeColor="text1"/>
          <w:sz w:val="32"/>
          <w:szCs w:val="32"/>
          <w:shd w:val="clear" w:color="auto" w:fill="FFFFFF"/>
        </w:rPr>
        <w:t>考核指标：</w:t>
      </w:r>
    </w:p>
    <w:p w14:paraId="0DA88F45" w14:textId="126756CD" w:rsidR="00875B21" w:rsidRPr="00016FA9" w:rsidRDefault="00875B21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）</w:t>
      </w:r>
      <w:proofErr w:type="gramStart"/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五轴摆头</w:t>
      </w:r>
      <w:proofErr w:type="gramEnd"/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A/C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轴采用力矩电机直驱形式，连续驱动力矩不小于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650Nm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A/C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轴定位精度≤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弧秒，最高转速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60rpm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，加速度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1g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；切削主轴采用电主轴，连续切削扭矩不小于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100Nm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，连续功率不小于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40kw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，主轴最高转速大于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18000rpm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AC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轴任意角度下固有频率不低于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400Hz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。</w:t>
      </w:r>
    </w:p>
    <w:p w14:paraId="7EF157D7" w14:textId="6BBE5D28" w:rsidR="00872753" w:rsidRPr="00016FA9" w:rsidRDefault="00875B21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（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）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项目执行期内总产值不少于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5000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万；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申请发明专利不少于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4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篇，发表文章</w:t>
      </w:r>
      <w:r w:rsidR="00872753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篇。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 xml:space="preserve"> </w:t>
      </w:r>
    </w:p>
    <w:p w14:paraId="0BC3BE08" w14:textId="3AD16ECC" w:rsidR="00872753" w:rsidRDefault="00872753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="00AB4839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（指南编写专家：李国平、屈稳太、张驰）</w:t>
      </w:r>
    </w:p>
    <w:p w14:paraId="24CCE883" w14:textId="77777777" w:rsidR="00E76B9C" w:rsidRPr="00E76B9C" w:rsidRDefault="00E76B9C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1A5CEDE9" w14:textId="05277407" w:rsidR="008667FE" w:rsidRPr="00E76B9C" w:rsidRDefault="00CF3F5A" w:rsidP="001547A4">
      <w:pPr>
        <w:spacing w:line="580" w:lineRule="exact"/>
        <w:ind w:firstLineChars="200" w:firstLine="643"/>
        <w:jc w:val="left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7</w:t>
      </w:r>
      <w:r w:rsidR="008667FE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、</w:t>
      </w:r>
      <w:r w:rsidR="008667FE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高转矩密度高可靠性风电变桨电机驱动一体机</w:t>
      </w:r>
    </w:p>
    <w:p w14:paraId="7A1FC667" w14:textId="77777777" w:rsidR="008667FE" w:rsidRPr="00016FA9" w:rsidRDefault="008667FE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研究内容：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研究风电变桨电机驱动一体机（含电机、驱动器、抱闸）的高功率密度设计；研究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100VDC-450VDC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宽电压范围驱动单元，确保电机正常运转（打开抱闸）；研究系统软硬件冗余设计，保证安全性和可靠性；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研究宽温环境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-40 ~ 50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℃）下通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过软件实现电机与驱动单元功耗的动态优化方法；</w:t>
      </w:r>
      <w:proofErr w:type="gramStart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模拟高</w:t>
      </w:r>
      <w:proofErr w:type="gramEnd"/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低温冲击、高海拔、振动、冲击、碰撞、沙尘、盐雾等运行工况进行测试及优化。</w:t>
      </w:r>
    </w:p>
    <w:p w14:paraId="300B578D" w14:textId="77777777" w:rsidR="008667FE" w:rsidRPr="00016FA9" w:rsidRDefault="008667FE" w:rsidP="001547A4">
      <w:pPr>
        <w:adjustRightInd w:val="0"/>
        <w:snapToGrid w:val="0"/>
        <w:spacing w:line="580" w:lineRule="exact"/>
        <w:ind w:firstLine="600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考核指标：</w:t>
      </w: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3E2A990F" w14:textId="67C235BE" w:rsidR="008667FE" w:rsidRPr="00016FA9" w:rsidRDefault="008667FE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楷体_GB2312" w:hAnsi="Times New Roman" w:cs="Times New Roman"/>
          <w:color w:val="000000" w:themeColor="text1"/>
          <w:sz w:val="32"/>
          <w:szCs w:val="32"/>
          <w:shd w:val="clear" w:color="auto" w:fill="FFFFFF"/>
        </w:rPr>
        <w:t>）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额定转矩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30N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m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，峰值转矩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100N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m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，峰值转矩密度≥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5N</w:t>
      </w:r>
      <w:r w:rsidR="00DE7173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.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m/kg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; 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运行电压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100VDC~450VDC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-40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℃低温启动，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-40 ~ 50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℃温度范围内稳定运行。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33EB051" w14:textId="6F7D4A41" w:rsidR="008667FE" w:rsidRPr="00016FA9" w:rsidRDefault="008667FE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（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2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>）</w:t>
      </w:r>
      <w:r w:rsidR="000924A8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项目执行期销售额</w:t>
      </w:r>
      <w:r w:rsidR="000924A8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3000</w:t>
      </w:r>
      <w:r w:rsidR="000924A8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万元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申请发明专利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项，实用新型专利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5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项；发表论文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3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篇</w:t>
      </w:r>
      <w:r w:rsidR="00DE717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。</w:t>
      </w:r>
      <w:r w:rsidR="000924A8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A048485" w14:textId="4867D101" w:rsidR="008667FE" w:rsidRPr="00016FA9" w:rsidRDefault="008667FE" w:rsidP="001547A4">
      <w:pPr>
        <w:adjustRightInd w:val="0"/>
        <w:snapToGrid w:val="0"/>
        <w:spacing w:line="580" w:lineRule="exact"/>
        <w:ind w:firstLine="60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楷体_GB2312" w:eastAsia="楷体_GB2312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有关说明：</w:t>
      </w:r>
      <w:r w:rsidR="0075595D"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="0075595D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="0075595D"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="0075595D"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="0075595D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="0075595D"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：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李国平、王刚、屈稳太）</w:t>
      </w:r>
    </w:p>
    <w:p w14:paraId="62619C4D" w14:textId="77777777" w:rsidR="00F06FEF" w:rsidRDefault="00F06FEF" w:rsidP="001547A4">
      <w:pPr>
        <w:spacing w:line="580" w:lineRule="exact"/>
        <w:ind w:left="640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</w:p>
    <w:p w14:paraId="79189E21" w14:textId="30757926" w:rsidR="0075595D" w:rsidRPr="00E76B9C" w:rsidRDefault="00CF3F5A" w:rsidP="001547A4">
      <w:pPr>
        <w:spacing w:line="580" w:lineRule="exact"/>
        <w:ind w:left="640"/>
        <w:jc w:val="left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8</w:t>
      </w:r>
      <w:r w:rsidR="0075595D"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、55-250kw高速高功率密度磁浮永磁电机研制</w:t>
      </w:r>
    </w:p>
    <w:p w14:paraId="407748AE" w14:textId="5CE73D5C" w:rsidR="0075595D" w:rsidRPr="00016FA9" w:rsidRDefault="0075595D" w:rsidP="001547A4">
      <w:pPr>
        <w:spacing w:line="580" w:lineRule="exact"/>
        <w:ind w:firstLineChars="199" w:firstLine="639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研究内容：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 xml:space="preserve"> 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研究高速高功率密度磁悬浮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电机力热优化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设计，电机定、转子电磁设计及加工工艺，低功耗永磁偏置混合磁悬浮轴承的结构设计；研究磁悬浮轴承的系统建模、自由度之间的耦合关系；研究电机高速高效的驱动技术，电机及高精度磁轴</w:t>
      </w:r>
      <w:proofErr w:type="gramStart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承稳定</w:t>
      </w:r>
      <w:proofErr w:type="gramEnd"/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控制技术及控制系统</w:t>
      </w:r>
      <w:r w:rsidR="00DE7173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研究</w:t>
      </w:r>
      <w:r w:rsidR="000924A8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高速磁悬浮永磁电机的批量化制造工艺</w:t>
      </w:r>
      <w:r w:rsidR="00DE7173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。</w:t>
      </w:r>
    </w:p>
    <w:p w14:paraId="3B2C1C3E" w14:textId="77777777" w:rsidR="0075595D" w:rsidRPr="00016FA9" w:rsidRDefault="0075595D" w:rsidP="001547A4">
      <w:pPr>
        <w:spacing w:line="580" w:lineRule="exact"/>
        <w:ind w:firstLineChars="199" w:firstLine="639"/>
        <w:jc w:val="left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考核指标：</w:t>
      </w:r>
    </w:p>
    <w:p w14:paraId="264458FB" w14:textId="57862B48" w:rsidR="0075595D" w:rsidRPr="00016FA9" w:rsidRDefault="0075595D" w:rsidP="001547A4">
      <w:pPr>
        <w:spacing w:line="580" w:lineRule="exact"/>
        <w:ind w:firstLineChars="199" w:firstLine="637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（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1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）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输出功率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sym w:font="Symbol" w:char="F07E"/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250kW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，至少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3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个功率等级；峰值转速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lastRenderedPageBreak/>
        <w:t>≥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30000r/min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；电机及驱动系统平均效率≥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92%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；功率范围内平均功率密度≥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1kW/kg</w:t>
      </w:r>
      <w:r w:rsidR="00DE7173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。</w:t>
      </w:r>
    </w:p>
    <w:p w14:paraId="27166296" w14:textId="6FDE90A3" w:rsidR="0075595D" w:rsidRPr="00016FA9" w:rsidRDefault="0075595D" w:rsidP="001547A4">
      <w:pPr>
        <w:spacing w:line="580" w:lineRule="exact"/>
        <w:ind w:firstLineChars="199" w:firstLine="637"/>
        <w:jc w:val="left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（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）</w:t>
      </w:r>
      <w:r w:rsidR="000924A8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项目执行期内实现产值</w:t>
      </w:r>
      <w:r w:rsidR="000924A8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5000</w:t>
      </w:r>
      <w:r w:rsidR="000924A8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万元；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发表论文</w:t>
      </w:r>
      <w:r w:rsidR="000924A8"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篇以上，申请发明专利</w:t>
      </w:r>
      <w:r w:rsidR="000924A8"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项。</w:t>
      </w:r>
    </w:p>
    <w:p w14:paraId="27626566" w14:textId="4A6FB7A2" w:rsidR="00437900" w:rsidRPr="00016FA9" w:rsidRDefault="0075595D" w:rsidP="001547A4">
      <w:pPr>
        <w:adjustRightInd w:val="0"/>
        <w:snapToGrid w:val="0"/>
        <w:spacing w:line="580" w:lineRule="exact"/>
        <w:ind w:firstLineChars="200" w:firstLine="643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有关说明：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要求企业牵头，鼓励企业与科研院所联合申报。财政补助原则上不超过</w:t>
      </w:r>
      <w:r w:rsidR="00E352DA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5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万元，且不超过项目科技投入的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0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%</w:t>
      </w:r>
      <w:r w:rsidRPr="00016FA9"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 w:hint="eastAsia"/>
          <w:snapToGrid w:val="0"/>
          <w:color w:val="000000" w:themeColor="text1"/>
          <w:kern w:val="0"/>
          <w:sz w:val="32"/>
          <w:szCs w:val="32"/>
        </w:rPr>
        <w:t>（指南编写专家：屈稳太、李国平、张驰）</w:t>
      </w:r>
    </w:p>
    <w:p w14:paraId="7AFBC251" w14:textId="77777777" w:rsidR="000924A8" w:rsidRPr="00016FA9" w:rsidRDefault="000924A8" w:rsidP="001547A4">
      <w:pPr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 w:cs="Times New Roman"/>
          <w:snapToGrid w:val="0"/>
          <w:color w:val="000000" w:themeColor="text1"/>
          <w:kern w:val="0"/>
          <w:sz w:val="32"/>
          <w:szCs w:val="32"/>
        </w:rPr>
      </w:pPr>
    </w:p>
    <w:p w14:paraId="34FD1EA3" w14:textId="0E98F8E7" w:rsidR="0000235C" w:rsidRPr="00037026" w:rsidRDefault="00334EA0" w:rsidP="001547A4">
      <w:pPr>
        <w:adjustRightInd w:val="0"/>
        <w:snapToGrid w:val="0"/>
        <w:spacing w:beforeLines="50" w:before="156" w:afterLines="50" w:after="156" w:line="580" w:lineRule="exact"/>
        <w:ind w:firstLine="641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 w:rsidRPr="00037026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三、</w:t>
      </w:r>
      <w:r w:rsidR="00037026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前沿</w:t>
      </w:r>
      <w:r w:rsidR="00037026">
        <w:rPr>
          <w:rFonts w:ascii="Times New Roman" w:eastAsia="黑体" w:hAnsi="Times New Roman" w:cs="Times New Roman" w:hint="eastAsia"/>
          <w:b/>
          <w:color w:val="000000" w:themeColor="text1"/>
          <w:sz w:val="32"/>
          <w:szCs w:val="32"/>
        </w:rPr>
        <w:t>探索</w:t>
      </w:r>
      <w:r w:rsidR="0000235C" w:rsidRPr="00037026"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  <w:t>项目</w:t>
      </w:r>
    </w:p>
    <w:p w14:paraId="25D59975" w14:textId="2A0EB84C" w:rsidR="00872753" w:rsidRPr="00E76B9C" w:rsidRDefault="00B000BA" w:rsidP="001547A4">
      <w:pPr>
        <w:spacing w:line="580" w:lineRule="exact"/>
        <w:ind w:firstLineChars="200" w:firstLine="643"/>
        <w:rPr>
          <w:rFonts w:ascii="楷体" w:eastAsia="楷体" w:hAnsi="楷体" w:cs="Times New Roman"/>
          <w:b/>
          <w:color w:val="000000" w:themeColor="text1"/>
          <w:sz w:val="32"/>
          <w:szCs w:val="32"/>
        </w:rPr>
      </w:pPr>
      <w:r w:rsidRPr="00E76B9C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9</w:t>
      </w:r>
      <w:r w:rsidR="00B1569D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、</w:t>
      </w:r>
      <w:r w:rsidR="00872753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快速精密</w:t>
      </w:r>
      <w:bookmarkStart w:id="1" w:name="OLE_LINK1"/>
      <w:bookmarkStart w:id="2" w:name="OLE_LINK2"/>
      <w:r w:rsidR="00872753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微型</w:t>
      </w:r>
      <w:bookmarkEnd w:id="1"/>
      <w:bookmarkEnd w:id="2"/>
      <w:r w:rsidR="00872753" w:rsidRPr="00E76B9C">
        <w:rPr>
          <w:rFonts w:ascii="楷体" w:eastAsia="楷体" w:hAnsi="楷体" w:cs="Times New Roman"/>
          <w:b/>
          <w:color w:val="000000" w:themeColor="text1"/>
          <w:sz w:val="32"/>
          <w:szCs w:val="32"/>
        </w:rPr>
        <w:t>压电粘滑直线电机关键技术</w:t>
      </w:r>
    </w:p>
    <w:p w14:paraId="0E6CD1BB" w14:textId="7F9A3D96" w:rsidR="00872753" w:rsidRPr="00016FA9" w:rsidRDefault="00872753" w:rsidP="001547A4">
      <w:pPr>
        <w:autoSpaceDE w:val="0"/>
        <w:autoSpaceDN w:val="0"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研究内容：</w:t>
      </w:r>
      <w:r w:rsidR="001A441F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研究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高频响微型定子（驱动机构）的构型设计、优化及静动态特性分析；定动子间摩擦力的准确建模及精密调节；电机机电耦合动力学建模</w:t>
      </w:r>
      <w:r w:rsidR="001A441F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快速粘滑驱动机理即电机运动特性</w:t>
      </w:r>
      <w:r w:rsidR="001A441F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随驱动电压幅值与频率、定动子间摩擦预紧力、负载大小变化规律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大带宽高线性高分辨率的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电机驱动电路设计及分析；电机快速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精密定位控制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系统设计与控制策略研究；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电机性能测试系统的搭建及电机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性能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测试。</w:t>
      </w:r>
    </w:p>
    <w:p w14:paraId="3189269A" w14:textId="3AC640A6" w:rsidR="00B1569D" w:rsidRPr="00016FA9" w:rsidRDefault="00872753" w:rsidP="001547A4">
      <w:pPr>
        <w:autoSpaceDE w:val="0"/>
        <w:autoSpaceDN w:val="0"/>
        <w:spacing w:line="580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考核指标：</w:t>
      </w:r>
    </w:p>
    <w:p w14:paraId="62AAED68" w14:textId="77777777" w:rsidR="00B1569D" w:rsidRPr="00016FA9" w:rsidRDefault="00B1569D" w:rsidP="001547A4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电机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尺寸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≤50mm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4"/>
      </w:r>
      <w:proofErr w:type="spellStart"/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50mm</w:t>
      </w:r>
      <w:proofErr w:type="spellEnd"/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4"/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20mm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，行程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3"/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15mm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，速度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3"/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 mm/s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，定位精度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≤±0.25μm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，重复定位精度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≤ ± 20nm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，分辨率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≤10nm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，驱动力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3"/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5N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，载荷</w:t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sym w:font="Symbol" w:char="F0B3"/>
      </w:r>
      <w:r w:rsidR="00872753"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10N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；</w:t>
      </w:r>
    </w:p>
    <w:p w14:paraId="7FB6BD8F" w14:textId="320DC993" w:rsidR="00872753" w:rsidRPr="00016FA9" w:rsidRDefault="00B1569D" w:rsidP="001547A4">
      <w:pPr>
        <w:autoSpaceDE w:val="0"/>
        <w:autoSpaceDN w:val="0"/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（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发表学术论文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8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篇，其中至少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篇被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SCI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收录；申请发明专利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 w:rsidR="00872753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项。</w:t>
      </w:r>
    </w:p>
    <w:p w14:paraId="3F441831" w14:textId="1F91CD75" w:rsidR="0000235C" w:rsidRPr="00037026" w:rsidRDefault="00872753" w:rsidP="00037026">
      <w:pPr>
        <w:autoSpaceDE w:val="0"/>
        <w:autoSpaceDN w:val="0"/>
        <w:spacing w:line="580" w:lineRule="exact"/>
        <w:ind w:firstLineChars="200" w:firstLine="643"/>
        <w:rPr>
          <w:rFonts w:ascii="Times New Roman" w:eastAsia="仿宋_GB2312" w:hAnsi="Times New Roman" w:cs="Times New Roman"/>
          <w:b/>
          <w:snapToGrid w:val="0"/>
          <w:color w:val="000000" w:themeColor="text1"/>
          <w:kern w:val="0"/>
          <w:sz w:val="32"/>
          <w:szCs w:val="32"/>
        </w:rPr>
      </w:pPr>
      <w:r w:rsidRPr="00016FA9"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有关说明：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优先鼓励高校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科研院所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牵头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申报。财政补助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原则上不超过</w:t>
      </w:r>
      <w:r w:rsidR="00E352DA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00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万元，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如企业牵头，</w:t>
      </w:r>
      <w:r w:rsidR="00AE55E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财政资助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不超过项目总投入的</w:t>
      </w:r>
      <w:r w:rsidR="00037026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0%</w:t>
      </w:r>
      <w:r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（指南编写专家：</w:t>
      </w:r>
      <w:r w:rsidR="004A689E" w:rsidRPr="00016FA9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张驰、屈稳太、仇一鸣</w:t>
      </w:r>
      <w:r w:rsidRPr="00016FA9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）</w:t>
      </w:r>
    </w:p>
    <w:sectPr w:rsidR="0000235C" w:rsidRPr="00037026" w:rsidSect="0025404E">
      <w:footerReference w:type="default" r:id="rId9"/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A10A" w14:textId="77777777" w:rsidR="00B6720A" w:rsidRDefault="00B6720A" w:rsidP="00525C7F">
      <w:r>
        <w:separator/>
      </w:r>
    </w:p>
  </w:endnote>
  <w:endnote w:type="continuationSeparator" w:id="0">
    <w:p w14:paraId="43C5DB03" w14:textId="77777777" w:rsidR="00B6720A" w:rsidRDefault="00B6720A" w:rsidP="0052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09815"/>
      <w:docPartObj>
        <w:docPartGallery w:val="Page Numbers (Bottom of Page)"/>
        <w:docPartUnique/>
      </w:docPartObj>
    </w:sdtPr>
    <w:sdtEndPr/>
    <w:sdtContent>
      <w:p w14:paraId="031F01D4" w14:textId="77777777" w:rsidR="009C7E2E" w:rsidRDefault="009C7E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DD8" w:rsidRPr="00C07DD8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8E9BF" w14:textId="77777777" w:rsidR="00B6720A" w:rsidRDefault="00B6720A" w:rsidP="00525C7F">
      <w:r>
        <w:separator/>
      </w:r>
    </w:p>
  </w:footnote>
  <w:footnote w:type="continuationSeparator" w:id="0">
    <w:p w14:paraId="694D12A4" w14:textId="77777777" w:rsidR="00B6720A" w:rsidRDefault="00B6720A" w:rsidP="0052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2BA1"/>
    <w:multiLevelType w:val="multilevel"/>
    <w:tmpl w:val="254D2B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2E2B05"/>
    <w:multiLevelType w:val="hybridMultilevel"/>
    <w:tmpl w:val="4CF49FB6"/>
    <w:lvl w:ilvl="0" w:tplc="8046829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F195AC1"/>
    <w:multiLevelType w:val="hybridMultilevel"/>
    <w:tmpl w:val="79E244A8"/>
    <w:lvl w:ilvl="0" w:tplc="74AAF8C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DA01C13"/>
    <w:multiLevelType w:val="hybridMultilevel"/>
    <w:tmpl w:val="17ACAA7C"/>
    <w:lvl w:ilvl="0" w:tplc="F9746F38">
      <w:start w:val="2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601A1079"/>
    <w:multiLevelType w:val="hybridMultilevel"/>
    <w:tmpl w:val="97F888A0"/>
    <w:lvl w:ilvl="0" w:tplc="A9E89A94">
      <w:start w:val="1"/>
      <w:numFmt w:val="decimal"/>
      <w:lvlText w:val="(%1)"/>
      <w:lvlJc w:val="left"/>
      <w:pPr>
        <w:ind w:left="1363" w:hanging="720"/>
      </w:pPr>
      <w:rPr>
        <w:rFonts w:eastAsia="楷体_GB2312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6BF3282E"/>
    <w:multiLevelType w:val="multilevel"/>
    <w:tmpl w:val="6BF32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0B"/>
    <w:rsid w:val="0000235C"/>
    <w:rsid w:val="00016FA9"/>
    <w:rsid w:val="0001727B"/>
    <w:rsid w:val="00033C87"/>
    <w:rsid w:val="00037026"/>
    <w:rsid w:val="00037B37"/>
    <w:rsid w:val="00063174"/>
    <w:rsid w:val="00071F99"/>
    <w:rsid w:val="000740F8"/>
    <w:rsid w:val="000924A8"/>
    <w:rsid w:val="000A0AC1"/>
    <w:rsid w:val="000B706B"/>
    <w:rsid w:val="000C35EB"/>
    <w:rsid w:val="000C7E8D"/>
    <w:rsid w:val="000D508A"/>
    <w:rsid w:val="000D6804"/>
    <w:rsid w:val="000E7D82"/>
    <w:rsid w:val="0010295C"/>
    <w:rsid w:val="001153E1"/>
    <w:rsid w:val="00122F5E"/>
    <w:rsid w:val="001547A4"/>
    <w:rsid w:val="001549AA"/>
    <w:rsid w:val="00161575"/>
    <w:rsid w:val="001665F9"/>
    <w:rsid w:val="001A441F"/>
    <w:rsid w:val="001B5564"/>
    <w:rsid w:val="001C3683"/>
    <w:rsid w:val="001C6688"/>
    <w:rsid w:val="001D09CD"/>
    <w:rsid w:val="001E242D"/>
    <w:rsid w:val="00207A4F"/>
    <w:rsid w:val="00212CA6"/>
    <w:rsid w:val="00214441"/>
    <w:rsid w:val="00246FB5"/>
    <w:rsid w:val="0025404E"/>
    <w:rsid w:val="002545F7"/>
    <w:rsid w:val="00282CAE"/>
    <w:rsid w:val="00295EEE"/>
    <w:rsid w:val="002C2DF1"/>
    <w:rsid w:val="002F18F3"/>
    <w:rsid w:val="00304593"/>
    <w:rsid w:val="00334EA0"/>
    <w:rsid w:val="00336A6C"/>
    <w:rsid w:val="00337F7A"/>
    <w:rsid w:val="00344B8B"/>
    <w:rsid w:val="003565FB"/>
    <w:rsid w:val="0036752E"/>
    <w:rsid w:val="003947E7"/>
    <w:rsid w:val="003A7739"/>
    <w:rsid w:val="003B0F03"/>
    <w:rsid w:val="003F2ABA"/>
    <w:rsid w:val="003F5A20"/>
    <w:rsid w:val="004065B1"/>
    <w:rsid w:val="004212C2"/>
    <w:rsid w:val="00426F9F"/>
    <w:rsid w:val="00437900"/>
    <w:rsid w:val="00457842"/>
    <w:rsid w:val="00464C58"/>
    <w:rsid w:val="00476D8D"/>
    <w:rsid w:val="00491B4A"/>
    <w:rsid w:val="004A680B"/>
    <w:rsid w:val="004A689E"/>
    <w:rsid w:val="004B23C1"/>
    <w:rsid w:val="004D1FEA"/>
    <w:rsid w:val="004D3402"/>
    <w:rsid w:val="004D5786"/>
    <w:rsid w:val="004E014D"/>
    <w:rsid w:val="00525C7F"/>
    <w:rsid w:val="00545F07"/>
    <w:rsid w:val="00546E18"/>
    <w:rsid w:val="0055329F"/>
    <w:rsid w:val="005657CC"/>
    <w:rsid w:val="005664C7"/>
    <w:rsid w:val="00567B4B"/>
    <w:rsid w:val="00570290"/>
    <w:rsid w:val="00581BF8"/>
    <w:rsid w:val="0058537E"/>
    <w:rsid w:val="005928A3"/>
    <w:rsid w:val="00593359"/>
    <w:rsid w:val="005A73EE"/>
    <w:rsid w:val="00603772"/>
    <w:rsid w:val="00606279"/>
    <w:rsid w:val="0064590D"/>
    <w:rsid w:val="00646CC1"/>
    <w:rsid w:val="00694388"/>
    <w:rsid w:val="006A18B7"/>
    <w:rsid w:val="006E62A1"/>
    <w:rsid w:val="006F1F0C"/>
    <w:rsid w:val="006F2BBF"/>
    <w:rsid w:val="006F77A0"/>
    <w:rsid w:val="00720316"/>
    <w:rsid w:val="00744EBA"/>
    <w:rsid w:val="007453FB"/>
    <w:rsid w:val="0075595D"/>
    <w:rsid w:val="007702A7"/>
    <w:rsid w:val="00792E98"/>
    <w:rsid w:val="007B27F0"/>
    <w:rsid w:val="007C0FE6"/>
    <w:rsid w:val="007C2075"/>
    <w:rsid w:val="0080287C"/>
    <w:rsid w:val="00812C37"/>
    <w:rsid w:val="00827360"/>
    <w:rsid w:val="00832E4A"/>
    <w:rsid w:val="0084034D"/>
    <w:rsid w:val="00842A5A"/>
    <w:rsid w:val="008504D4"/>
    <w:rsid w:val="008667FE"/>
    <w:rsid w:val="00872753"/>
    <w:rsid w:val="00875B21"/>
    <w:rsid w:val="00891662"/>
    <w:rsid w:val="00891FAB"/>
    <w:rsid w:val="008963B5"/>
    <w:rsid w:val="008A319D"/>
    <w:rsid w:val="008A7262"/>
    <w:rsid w:val="00917F78"/>
    <w:rsid w:val="00921D70"/>
    <w:rsid w:val="009453C0"/>
    <w:rsid w:val="0095255C"/>
    <w:rsid w:val="00952918"/>
    <w:rsid w:val="00956DE6"/>
    <w:rsid w:val="0096119D"/>
    <w:rsid w:val="00962097"/>
    <w:rsid w:val="00963E39"/>
    <w:rsid w:val="00966125"/>
    <w:rsid w:val="0097652A"/>
    <w:rsid w:val="009B5BEA"/>
    <w:rsid w:val="009C1DB1"/>
    <w:rsid w:val="009C333D"/>
    <w:rsid w:val="009C7E2E"/>
    <w:rsid w:val="009E415E"/>
    <w:rsid w:val="009F0097"/>
    <w:rsid w:val="009F64AA"/>
    <w:rsid w:val="00A22B87"/>
    <w:rsid w:val="00A348AB"/>
    <w:rsid w:val="00A358C2"/>
    <w:rsid w:val="00A5663C"/>
    <w:rsid w:val="00AA4DFC"/>
    <w:rsid w:val="00AB3B50"/>
    <w:rsid w:val="00AB4839"/>
    <w:rsid w:val="00AB49B8"/>
    <w:rsid w:val="00AB7808"/>
    <w:rsid w:val="00AC6B72"/>
    <w:rsid w:val="00AE55EB"/>
    <w:rsid w:val="00AE676F"/>
    <w:rsid w:val="00B000BA"/>
    <w:rsid w:val="00B069C5"/>
    <w:rsid w:val="00B1569D"/>
    <w:rsid w:val="00B1598E"/>
    <w:rsid w:val="00B251D9"/>
    <w:rsid w:val="00B452D4"/>
    <w:rsid w:val="00B45A08"/>
    <w:rsid w:val="00B60BA2"/>
    <w:rsid w:val="00B6720A"/>
    <w:rsid w:val="00B71E2E"/>
    <w:rsid w:val="00B84B8F"/>
    <w:rsid w:val="00B8729F"/>
    <w:rsid w:val="00B87CCD"/>
    <w:rsid w:val="00B94666"/>
    <w:rsid w:val="00BB1AED"/>
    <w:rsid w:val="00BB2E07"/>
    <w:rsid w:val="00BB30F5"/>
    <w:rsid w:val="00BD53C5"/>
    <w:rsid w:val="00BD77AD"/>
    <w:rsid w:val="00BE22A6"/>
    <w:rsid w:val="00C02180"/>
    <w:rsid w:val="00C07DD8"/>
    <w:rsid w:val="00C11D55"/>
    <w:rsid w:val="00C137B3"/>
    <w:rsid w:val="00C41966"/>
    <w:rsid w:val="00C476A6"/>
    <w:rsid w:val="00C56826"/>
    <w:rsid w:val="00C67699"/>
    <w:rsid w:val="00C74B91"/>
    <w:rsid w:val="00C75143"/>
    <w:rsid w:val="00C8366C"/>
    <w:rsid w:val="00C84D83"/>
    <w:rsid w:val="00C85CD0"/>
    <w:rsid w:val="00C923C5"/>
    <w:rsid w:val="00CA21CC"/>
    <w:rsid w:val="00CA3272"/>
    <w:rsid w:val="00CB4994"/>
    <w:rsid w:val="00CB63AC"/>
    <w:rsid w:val="00CD7C98"/>
    <w:rsid w:val="00CE2348"/>
    <w:rsid w:val="00CF3F5A"/>
    <w:rsid w:val="00D618A5"/>
    <w:rsid w:val="00D8794F"/>
    <w:rsid w:val="00D9350A"/>
    <w:rsid w:val="00DA1FF2"/>
    <w:rsid w:val="00DB04DC"/>
    <w:rsid w:val="00DD268A"/>
    <w:rsid w:val="00DE37CA"/>
    <w:rsid w:val="00DE7173"/>
    <w:rsid w:val="00E13653"/>
    <w:rsid w:val="00E1639F"/>
    <w:rsid w:val="00E20B15"/>
    <w:rsid w:val="00E24D69"/>
    <w:rsid w:val="00E352DA"/>
    <w:rsid w:val="00E51674"/>
    <w:rsid w:val="00E67648"/>
    <w:rsid w:val="00E76B9C"/>
    <w:rsid w:val="00E84976"/>
    <w:rsid w:val="00E90183"/>
    <w:rsid w:val="00E95362"/>
    <w:rsid w:val="00E9770D"/>
    <w:rsid w:val="00EB053B"/>
    <w:rsid w:val="00EB186D"/>
    <w:rsid w:val="00EC3B35"/>
    <w:rsid w:val="00EE295F"/>
    <w:rsid w:val="00EF58ED"/>
    <w:rsid w:val="00EF6B3D"/>
    <w:rsid w:val="00F06152"/>
    <w:rsid w:val="00F06FEF"/>
    <w:rsid w:val="00F079C7"/>
    <w:rsid w:val="00F42F85"/>
    <w:rsid w:val="00F53FB8"/>
    <w:rsid w:val="00F72AB5"/>
    <w:rsid w:val="00F75C22"/>
    <w:rsid w:val="00FC5916"/>
    <w:rsid w:val="00FD5A5C"/>
    <w:rsid w:val="00FE449C"/>
    <w:rsid w:val="00FF1E8E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9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3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aliases w:val="课题"/>
    <w:basedOn w:val="a"/>
    <w:next w:val="a"/>
    <w:link w:val="4Char"/>
    <w:uiPriority w:val="9"/>
    <w:unhideWhenUsed/>
    <w:qFormat/>
    <w:rsid w:val="000D508A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C7F"/>
    <w:rPr>
      <w:sz w:val="18"/>
      <w:szCs w:val="18"/>
    </w:rPr>
  </w:style>
  <w:style w:type="character" w:customStyle="1" w:styleId="4Char">
    <w:name w:val="标题 4 Char"/>
    <w:aliases w:val="课题 Char"/>
    <w:basedOn w:val="a0"/>
    <w:link w:val="4"/>
    <w:uiPriority w:val="9"/>
    <w:rsid w:val="000D50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D508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0023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rsid w:val="0000235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91B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B4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A726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A726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A726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A726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A7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3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aliases w:val="课题"/>
    <w:basedOn w:val="a"/>
    <w:next w:val="a"/>
    <w:link w:val="4Char"/>
    <w:uiPriority w:val="9"/>
    <w:unhideWhenUsed/>
    <w:qFormat/>
    <w:rsid w:val="000D508A"/>
    <w:pPr>
      <w:keepNext/>
      <w:keepLines/>
      <w:spacing w:before="280" w:after="290" w:line="376" w:lineRule="auto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C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C7F"/>
    <w:rPr>
      <w:sz w:val="18"/>
      <w:szCs w:val="18"/>
    </w:rPr>
  </w:style>
  <w:style w:type="character" w:customStyle="1" w:styleId="4Char">
    <w:name w:val="标题 4 Char"/>
    <w:aliases w:val="课题 Char"/>
    <w:basedOn w:val="a0"/>
    <w:link w:val="4"/>
    <w:uiPriority w:val="9"/>
    <w:rsid w:val="000D508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D508A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semiHidden/>
    <w:rsid w:val="000023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Normal (Web)"/>
    <w:basedOn w:val="a"/>
    <w:rsid w:val="0000235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91B4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91B4A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A726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A726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A726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A726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A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4E1EC-0170-49DE-ACE0-814B6AFA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598</Words>
  <Characters>3409</Characters>
  <Application>Microsoft Office Word</Application>
  <DocSecurity>0</DocSecurity>
  <Lines>28</Lines>
  <Paragraphs>7</Paragraphs>
  <ScaleCrop>false</ScaleCrop>
  <Company>Lenovo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张永彤</cp:lastModifiedBy>
  <cp:revision>8</cp:revision>
  <dcterms:created xsi:type="dcterms:W3CDTF">2020-06-03T06:43:00Z</dcterms:created>
  <dcterms:modified xsi:type="dcterms:W3CDTF">2020-06-04T09:22:00Z</dcterms:modified>
</cp:coreProperties>
</file>