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pPr>
        <w:spacing w:line="44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2018年度宁波市软科学研究指南</w:t>
      </w:r>
    </w:p>
    <w:p>
      <w:pPr>
        <w:spacing w:line="440" w:lineRule="exact"/>
        <w:jc w:val="center"/>
        <w:rPr>
          <w:rFonts w:ascii="黑体" w:hAnsi="黑体" w:eastAsia="黑体" w:cstheme="minorBidi"/>
          <w:sz w:val="32"/>
          <w:szCs w:val="32"/>
        </w:rPr>
      </w:pPr>
      <w:r>
        <w:rPr>
          <w:rFonts w:hint="eastAsia" w:ascii="黑体" w:hAnsi="黑体" w:eastAsia="黑体" w:cstheme="minorBidi"/>
          <w:sz w:val="32"/>
          <w:szCs w:val="32"/>
        </w:rPr>
        <w:t>第一部分   重大（招标）项目</w:t>
      </w:r>
    </w:p>
    <w:p>
      <w:pPr>
        <w:spacing w:line="440" w:lineRule="exact"/>
        <w:jc w:val="left"/>
        <w:rPr>
          <w:rFonts w:ascii="黑体" w:hAnsi="黑体" w:eastAsia="黑体" w:cstheme="minorBidi"/>
          <w:b/>
          <w:szCs w:val="21"/>
        </w:rPr>
      </w:pPr>
      <w:r>
        <w:rPr>
          <w:rFonts w:hint="eastAsia" w:ascii="黑体" w:hAnsi="黑体" w:eastAsia="黑体" w:cstheme="minorBidi"/>
          <w:b/>
          <w:szCs w:val="21"/>
        </w:rPr>
        <w:t>1、“新时代”新科技革命与产业变革背景下基于“中等收入陷阱”警示与“名城名都”目标的宁波转型升级、“高质量发展”的现状、问题、治理对策以及（科技）支撑政策研究</w:t>
      </w:r>
    </w:p>
    <w:p>
      <w:pPr>
        <w:spacing w:line="440" w:lineRule="exact"/>
        <w:ind w:left="36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【要求：基于“新时代”新科技革命与产业变革背景以及“高质量发展”的“名城名都”</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评价指标，在深入、系统调查宁波全市（包括市本级、各个县市区与特殊功能区）经济转型升级全面情况，研究宁波转型升级的现状、特点，定性定量分析宁波与 “名城名都”的具体差别，探究宁波转型升级存在问题、原因的基础上，认真挖掘国外欧美日韩新加坡、国内京沪深杭等发达地区成功转型的先进经验，剖析拉美地区与东南亚部分国家转型失败的深刻教训，结合宁波区位优势、历史条件、城市地位、现有基础、发展愿景，探索“新时代”新常态下宁波经济转型升级、“高质量发展”并成功跨越“中等收入陷阱”的战略规划与路径选择，同时系统提出一系列具有可操作性的对策措施与（科技）政策建议。</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 xml:space="preserve">    经费：不超过30万。</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指标：30万字左右研究报告1份，3000字左右的领导参阅件3份，其余不限。</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时间：1-2年】。</w:t>
      </w:r>
    </w:p>
    <w:p>
      <w:pPr>
        <w:spacing w:line="440" w:lineRule="exact"/>
        <w:ind w:firstLine="420" w:firstLineChars="200"/>
        <w:jc w:val="left"/>
        <w:rPr>
          <w:rFonts w:asciiTheme="minorEastAsia" w:hAnsiTheme="minorEastAsia" w:eastAsiaTheme="minorEastAsia" w:cstheme="minorBidi"/>
          <w:szCs w:val="21"/>
        </w:rPr>
      </w:pPr>
    </w:p>
    <w:p>
      <w:pPr>
        <w:spacing w:line="440" w:lineRule="exact"/>
        <w:jc w:val="left"/>
        <w:rPr>
          <w:rFonts w:ascii="黑体" w:hAnsi="黑体" w:eastAsia="黑体" w:cstheme="minorBidi"/>
          <w:b/>
          <w:szCs w:val="21"/>
        </w:rPr>
      </w:pPr>
      <w:r>
        <w:rPr>
          <w:rFonts w:hint="eastAsia" w:ascii="黑体" w:hAnsi="黑体" w:eastAsia="黑体" w:cstheme="minorBidi"/>
          <w:b/>
          <w:szCs w:val="21"/>
        </w:rPr>
        <w:t>2、基于“创新驱动实质上是人才驱动”科学论断以及“需求层次理论”与“反向工程”理论，充分满足国家创新型（试点）示范城市、“名城名都”建设以及“新时代”“高质量发展”需求的国内外一流与顶尖科技创新人才集聚高地“高峰</w:t>
      </w:r>
      <w:r>
        <w:rPr>
          <w:rFonts w:ascii="黑体" w:hAnsi="黑体" w:eastAsia="黑体" w:cstheme="minorBidi"/>
          <w:b/>
          <w:szCs w:val="21"/>
        </w:rPr>
        <w:t>”</w:t>
      </w:r>
      <w:r>
        <w:rPr>
          <w:rFonts w:hint="eastAsia" w:ascii="黑体" w:hAnsi="黑体" w:eastAsia="黑体" w:cstheme="minorBidi"/>
          <w:b/>
          <w:szCs w:val="21"/>
        </w:rPr>
        <w:t>建设研究</w:t>
      </w:r>
    </w:p>
    <w:p>
      <w:pPr>
        <w:spacing w:line="440" w:lineRule="exact"/>
        <w:ind w:left="36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【要求：在系统梳理国内外一流与顶尖科技创新人才生存生活与创新发展需求的普遍性</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与特殊性，深入分析国内外一流与顶尖科技创新人才高度集聚区域（人才高地“高峰”）的供给特性，全面调查宁波国内外一流与顶尖科技创新人才环境尤其是现行人才（新）政策现状、特点、问题的基础上，</w:t>
      </w:r>
      <w:r>
        <w:rPr>
          <w:rFonts w:hint="eastAsia" w:ascii="黑体" w:hAnsi="黑体" w:eastAsia="黑体" w:cstheme="minorBidi"/>
          <w:b/>
          <w:szCs w:val="21"/>
        </w:rPr>
        <w:t>重点比对宁波与国内外一流与顶尖科技创新人才需求、人才高地“高峰”之间人才环境与人才（新）政策的（落）差距，</w:t>
      </w:r>
      <w:r>
        <w:rPr>
          <w:rFonts w:hint="eastAsia" w:asciiTheme="minorEastAsia" w:hAnsiTheme="minorEastAsia" w:eastAsiaTheme="minorEastAsia" w:cstheme="minorBidi"/>
          <w:szCs w:val="21"/>
        </w:rPr>
        <w:t>探究问题与（落）差距存在的内、外主客观原因，吸取国内外一流与顶尖科技创新人才高度集聚区域（人才高地“高峰”）经验，研究提出宁波补齐现有短板，保持先发优势，争创后发优势，发挥比较优势，提升竞争优势，优化人才（政策）环境，广泛汇集国内外一流人才与顶尖科学家（团队）的战略构想、具体规划、路径选择与政策措施</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经费：不超过30万。</w:t>
      </w:r>
    </w:p>
    <w:p>
      <w:pPr>
        <w:spacing w:line="440" w:lineRule="exact"/>
        <w:ind w:firstLine="420" w:firstLineChars="200"/>
        <w:jc w:val="left"/>
        <w:rPr>
          <w:rFonts w:ascii="黑体" w:hAnsi="黑体" w:eastAsia="黑体" w:cstheme="minorBidi"/>
          <w:b/>
          <w:szCs w:val="21"/>
        </w:rPr>
      </w:pPr>
      <w:r>
        <w:rPr>
          <w:rFonts w:hint="eastAsia" w:asciiTheme="minorEastAsia" w:hAnsiTheme="minorEastAsia" w:eastAsiaTheme="minorEastAsia" w:cstheme="minorBidi"/>
          <w:szCs w:val="21"/>
        </w:rPr>
        <w:t>指标：30万字左右研究报告1份，3000字左右的领导参阅件2份，其余不限。</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时间：1年】。</w:t>
      </w:r>
    </w:p>
    <w:p>
      <w:pPr>
        <w:spacing w:line="440" w:lineRule="exact"/>
        <w:jc w:val="left"/>
        <w:rPr>
          <w:rFonts w:asciiTheme="minorEastAsia" w:hAnsiTheme="minorEastAsia" w:eastAsiaTheme="minorEastAsia" w:cstheme="minorBidi"/>
          <w:szCs w:val="21"/>
        </w:rPr>
      </w:pPr>
    </w:p>
    <w:p>
      <w:pPr>
        <w:spacing w:line="440" w:lineRule="exact"/>
        <w:jc w:val="left"/>
        <w:rPr>
          <w:rFonts w:ascii="黑体" w:hAnsi="黑体" w:eastAsia="黑体" w:cstheme="minorBidi"/>
          <w:b/>
          <w:szCs w:val="21"/>
        </w:rPr>
      </w:pPr>
      <w:r>
        <w:rPr>
          <w:rFonts w:hint="eastAsia" w:ascii="黑体" w:hAnsi="黑体" w:eastAsia="黑体" w:cstheme="minorBidi"/>
          <w:b/>
          <w:szCs w:val="21"/>
        </w:rPr>
        <w:t>3、“跟踪、并行、领跑”并存状态下基于“深化供给侧结构性改革”、“提高供给体系质量”以及“差异化策略和非对称路径”并有效支撑“中国制造2025”试点城市建设的宁波创新能力“领跑”主要领域选择及其优先发展规划、主要研究内容、特别支持政策以及重大保障措施研究</w:t>
      </w:r>
    </w:p>
    <w:p>
      <w:pPr>
        <w:spacing w:line="440" w:lineRule="exact"/>
        <w:ind w:firstLine="422" w:firstLineChars="200"/>
        <w:jc w:val="left"/>
        <w:rPr>
          <w:rFonts w:asciiTheme="minorEastAsia" w:hAnsiTheme="minorEastAsia" w:eastAsiaTheme="minorEastAsia" w:cstheme="minorBidi"/>
          <w:szCs w:val="21"/>
        </w:rPr>
      </w:pPr>
      <w:r>
        <w:rPr>
          <w:rFonts w:hint="eastAsia" w:ascii="黑体" w:hAnsi="黑体" w:eastAsia="黑体" w:cstheme="minorBidi"/>
          <w:b/>
          <w:szCs w:val="21"/>
        </w:rPr>
        <w:t>【</w:t>
      </w:r>
      <w:r>
        <w:rPr>
          <w:rFonts w:hint="eastAsia" w:asciiTheme="minorEastAsia" w:hAnsiTheme="minorEastAsia" w:eastAsiaTheme="minorEastAsia" w:cstheme="minorBidi"/>
          <w:szCs w:val="21"/>
        </w:rPr>
        <w:t>要求：以提升城市科技创新能力、有力支撑“名城名都”“高质量发展”为目的，对接“中国制造2025”试点城市实施方案，梳理国内外相关领域学科发展趋势，结合宁波产业发展现实基础与需求，凝炼出相关行业重大专项及其细分领域研究选题，形成“科技创新2025”重大专项，指出其对宁波“高质量发展”的目的、意义与价值，并就其发展规划、主要研究方向、框架、内容、方法、关键与主要创新点、研究预期以及相应措施与政策等进行前期预可行性研究。</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经费：不超过20万/2项。</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指标：10万字左右研究报告2份，3000字左右的领导参阅件2份以上，其余不限。</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时间：1年】。</w:t>
      </w:r>
    </w:p>
    <w:p>
      <w:pPr>
        <w:spacing w:line="440" w:lineRule="exact"/>
        <w:ind w:firstLine="420"/>
        <w:jc w:val="left"/>
        <w:rPr>
          <w:rFonts w:asciiTheme="minorEastAsia" w:hAnsiTheme="minorEastAsia" w:eastAsiaTheme="minorEastAsia" w:cstheme="minorBidi"/>
          <w:szCs w:val="21"/>
        </w:rPr>
      </w:pPr>
    </w:p>
    <w:p>
      <w:pPr>
        <w:spacing w:line="440" w:lineRule="exact"/>
        <w:jc w:val="left"/>
        <w:rPr>
          <w:rFonts w:asciiTheme="minorEastAsia" w:hAnsiTheme="minorEastAsia" w:eastAsiaTheme="minorEastAsia" w:cstheme="minorBidi"/>
          <w:szCs w:val="21"/>
        </w:rPr>
      </w:pPr>
      <w:r>
        <w:rPr>
          <w:rFonts w:hint="eastAsia" w:ascii="黑体" w:hAnsi="黑体" w:eastAsia="黑体" w:cstheme="minorBidi"/>
          <w:b/>
          <w:szCs w:val="21"/>
        </w:rPr>
        <w:t>4、全球创新网络视野中顶尖人才（团队）领衔与资源开放共享互动条件下基于“企业主导、院校协作、多元投资、军民整合、成果分享新模式”“更具国际影响力”的宁波战略性（先进制造）产业（技术）创新中心建设的必要性、可行性及其战略定位、规划方案、实施路径与保障政策研究</w:t>
      </w:r>
      <w:r>
        <w:rPr>
          <w:rFonts w:hint="eastAsia" w:asciiTheme="minorEastAsia" w:hAnsiTheme="minorEastAsia" w:eastAsiaTheme="minorEastAsia" w:cstheme="minorBidi"/>
          <w:szCs w:val="21"/>
        </w:rPr>
        <w:t xml:space="preserve">    </w:t>
      </w:r>
    </w:p>
    <w:p>
      <w:pPr>
        <w:spacing w:line="440" w:lineRule="exact"/>
        <w:ind w:left="36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【要求：任意选择（新材料设计制造、材料基因工程技术、智能制造、光电产业、集成</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电路芯片、未来能源和绿能交通、精密驱动与控制技术、高端模具制造、高压节能液压元件、气动与密封技术、大数据产业、健康产业、工业物联网等）若干先进制造产业中的1个，在深入分析全球创新网络视野中顶尖人才（团队）领衔与资源开放共享互动条件下基于“企业主导、院校协作、多元投资、军民整合、成果分享新模式”的产业创新中心建设必要性、可行性的前提下，借鉴国内外先进地区的经验，明确指出宁波战略性产业创新中心在宁波产业经济与社会发展中的战略地位与功能定位，系统提出宁波战略性产业（及其主要细分行业）创新中心的规划方案、实施路径与保障政策</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 xml:space="preserve">    经费：不超过30万。</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指标：30万字左右研究报告1份，3000字左右的领导参阅件2份，其余不限。</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时间：1年】。</w:t>
      </w:r>
    </w:p>
    <w:p>
      <w:pPr>
        <w:spacing w:line="440" w:lineRule="exact"/>
        <w:jc w:val="left"/>
        <w:rPr>
          <w:rFonts w:asciiTheme="minorEastAsia" w:hAnsiTheme="minorEastAsia" w:eastAsiaTheme="minorEastAsia" w:cstheme="minorBidi"/>
          <w:szCs w:val="21"/>
        </w:rPr>
      </w:pPr>
    </w:p>
    <w:p>
      <w:pPr>
        <w:spacing w:line="440" w:lineRule="exact"/>
        <w:jc w:val="left"/>
        <w:rPr>
          <w:rFonts w:ascii="黑体" w:hAnsi="黑体" w:eastAsia="黑体" w:cstheme="minorBidi"/>
          <w:b/>
          <w:szCs w:val="21"/>
        </w:rPr>
      </w:pPr>
      <w:r>
        <w:rPr>
          <w:rFonts w:hint="eastAsia" w:ascii="黑体" w:hAnsi="黑体" w:eastAsia="黑体" w:cstheme="minorBidi"/>
          <w:b/>
          <w:szCs w:val="21"/>
        </w:rPr>
        <w:t>5、“走中国特色自主创新道路，面向世界科技前沿、面向经济主战场、面向国家重大需求”导向下基于未来可能影响并改写世界技术版图与市场领先记录的新科技、新产业，培育宁波经济新的增长点与新动能研究</w:t>
      </w:r>
    </w:p>
    <w:p>
      <w:pPr>
        <w:spacing w:line="440" w:lineRule="exact"/>
        <w:ind w:firstLine="420"/>
        <w:jc w:val="left"/>
        <w:rPr>
          <w:rFonts w:asciiTheme="minorEastAsia" w:hAnsiTheme="minorEastAsia" w:eastAsiaTheme="minorEastAsia" w:cstheme="minorBidi"/>
          <w:szCs w:val="21"/>
        </w:rPr>
      </w:pPr>
      <w:bookmarkStart w:id="0" w:name="_GoBack"/>
      <w:r>
        <w:rPr>
          <w:rFonts w:hint="eastAsia" w:ascii="黑体" w:hAnsi="黑体" w:eastAsia="黑体" w:cstheme="minorBidi"/>
          <w:b/>
          <w:szCs w:val="21"/>
        </w:rPr>
        <w:t>【</w:t>
      </w:r>
      <w:r>
        <w:rPr>
          <w:rFonts w:hint="eastAsia" w:asciiTheme="minorEastAsia" w:hAnsiTheme="minorEastAsia" w:eastAsiaTheme="minorEastAsia" w:cstheme="minorBidi"/>
          <w:szCs w:val="21"/>
        </w:rPr>
        <w:t>要求：根据“一条道路三个面向”指示精神以及世界科技前沿与新兴产业发展态势，结合</w:t>
      </w:r>
      <w:bookmarkEnd w:id="0"/>
      <w:r>
        <w:rPr>
          <w:rFonts w:hint="eastAsia" w:asciiTheme="minorEastAsia" w:hAnsiTheme="minorEastAsia" w:eastAsiaTheme="minorEastAsia" w:cstheme="minorBidi"/>
          <w:szCs w:val="21"/>
        </w:rPr>
        <w:t>科技经济社会发展的基础条件与未来走向，探索宁波嫁接、移植与发展互联网、大数据、云计算、物联网、区块链、脑科学、人工智能（AI）、深度学习（DL）、机器人、无人驾驶汽车、石墨烯、量子通信、精准医疗、虚拟现实(VR)/增强现实（AR）/混合现实（MR）、共享经济、现代供应链、人力资本服务等新科技、新产业，促进宁波企业转型升级、经济“高质量发展”的必要性、可行性、战略思路、规划纲要、对策措施与政策框架。</w:t>
      </w:r>
    </w:p>
    <w:p>
      <w:pPr>
        <w:spacing w:line="440" w:lineRule="exact"/>
        <w:ind w:firstLine="420" w:firstLineChars="20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经费：不超过30万。</w:t>
      </w:r>
    </w:p>
    <w:p>
      <w:pPr>
        <w:spacing w:line="440" w:lineRule="exact"/>
        <w:ind w:firstLine="420" w:firstLineChars="200"/>
        <w:jc w:val="left"/>
        <w:rPr>
          <w:rFonts w:ascii="黑体" w:hAnsi="黑体" w:eastAsia="黑体" w:cstheme="minorBidi"/>
          <w:b/>
          <w:szCs w:val="21"/>
        </w:rPr>
      </w:pPr>
      <w:r>
        <w:rPr>
          <w:rFonts w:hint="eastAsia" w:asciiTheme="minorEastAsia" w:hAnsiTheme="minorEastAsia" w:eastAsiaTheme="minorEastAsia" w:cstheme="minorBidi"/>
          <w:szCs w:val="21"/>
        </w:rPr>
        <w:t>指标：30万字左右研究报告1份，3000字左右的领导参阅件2份，其余不限。</w:t>
      </w:r>
    </w:p>
    <w:p>
      <w:pPr>
        <w:spacing w:line="440" w:lineRule="exact"/>
        <w:jc w:val="left"/>
        <w:rPr>
          <w:rFonts w:ascii="黑体" w:hAnsi="黑体" w:eastAsia="黑体" w:cstheme="minorBidi"/>
          <w:b/>
          <w:szCs w:val="21"/>
        </w:rPr>
      </w:pPr>
      <w:r>
        <w:rPr>
          <w:rFonts w:hint="eastAsia" w:ascii="黑体" w:hAnsi="黑体" w:eastAsia="黑体" w:cstheme="minorBidi"/>
          <w:b/>
          <w:szCs w:val="21"/>
        </w:rPr>
        <w:t xml:space="preserve">    </w:t>
      </w:r>
      <w:r>
        <w:rPr>
          <w:rFonts w:hint="eastAsia" w:asciiTheme="minorEastAsia" w:hAnsiTheme="minorEastAsia" w:eastAsiaTheme="minorEastAsia" w:cstheme="minorBidi"/>
          <w:szCs w:val="21"/>
        </w:rPr>
        <w:t>时间：1-2年】。</w:t>
      </w:r>
    </w:p>
    <w:p>
      <w:pPr>
        <w:spacing w:line="440" w:lineRule="exact"/>
        <w:jc w:val="left"/>
        <w:rPr>
          <w:rFonts w:asciiTheme="minorEastAsia" w:hAnsiTheme="minorEastAsia" w:eastAsiaTheme="minorEastAsia" w:cstheme="minorBidi"/>
          <w:szCs w:val="21"/>
        </w:rPr>
      </w:pPr>
    </w:p>
    <w:p>
      <w:pPr>
        <w:spacing w:line="440" w:lineRule="exact"/>
        <w:rPr>
          <w:rFonts w:ascii="黑体" w:hAnsi="黑体" w:eastAsia="黑体" w:cstheme="minorBidi"/>
          <w:b/>
          <w:szCs w:val="21"/>
        </w:rPr>
      </w:pPr>
      <w:r>
        <w:rPr>
          <w:rFonts w:hint="eastAsia" w:ascii="黑体" w:hAnsi="黑体" w:eastAsia="黑体" w:cstheme="minorBidi"/>
          <w:b/>
          <w:szCs w:val="21"/>
        </w:rPr>
        <w:t>6、世界超级港口目标以及沿海开放带、长江经济带、长三角一体化、“一带一路”等多重国家重大战略指向下基于现有行政区划的宁波-舟山港与上海港一体化发展的必要性、可行性、战略构想、规划设计、实施方案、主要障碍、对策措施以及政策创新研究</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要求：基于国际上跨区、跨国组合港与国内宁波-舟山为代表的组合港发展的历史经验，研究已成为全球最大货运港口与第四大集装箱港口的宁波-舟山港与“地域相近、人文相亲、一衣带水”的上海港（包含洋山港）强强组合、一体化发展并带动长三角沿海港口（集群）协同发展的必要性、可行性、战略规划、方案设计、主要问题以及应对措施与体制机制、组织机构及政策创新等内容。</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经费：不超过30万。</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w:t>
      </w:r>
      <w:r>
        <w:rPr>
          <w:rFonts w:hint="eastAsia" w:ascii="黑体" w:hAnsi="黑体" w:eastAsia="黑体" w:cstheme="minorBidi"/>
          <w:szCs w:val="21"/>
        </w:rPr>
        <w:t>30</w:t>
      </w:r>
      <w:r>
        <w:rPr>
          <w:rFonts w:hint="eastAsia" w:asciiTheme="minorEastAsia" w:hAnsiTheme="minorEastAsia" w:eastAsiaTheme="minorEastAsia" w:cstheme="minorBidi"/>
          <w:szCs w:val="21"/>
        </w:rPr>
        <w:t>万字左右研究报告1份，3000字左右的领导参阅件3份，其余不限。</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 xml:space="preserve">    时间：1-2年】。</w:t>
      </w:r>
    </w:p>
    <w:p>
      <w:pPr>
        <w:spacing w:line="440" w:lineRule="exact"/>
        <w:jc w:val="left"/>
        <w:rPr>
          <w:rFonts w:asciiTheme="minorEastAsia" w:hAnsiTheme="minorEastAsia" w:eastAsiaTheme="minorEastAsia" w:cstheme="minorBidi"/>
          <w:szCs w:val="21"/>
        </w:rPr>
      </w:pPr>
    </w:p>
    <w:p>
      <w:pPr>
        <w:spacing w:line="440" w:lineRule="exact"/>
        <w:rPr>
          <w:rFonts w:ascii="黑体" w:hAnsi="黑体" w:eastAsia="黑体" w:cstheme="minorBidi"/>
          <w:b/>
          <w:szCs w:val="21"/>
        </w:rPr>
      </w:pPr>
      <w:r>
        <w:rPr>
          <w:rFonts w:hint="eastAsia" w:ascii="黑体" w:hAnsi="黑体" w:eastAsia="黑体" w:cstheme="minorBidi"/>
          <w:b/>
          <w:szCs w:val="21"/>
        </w:rPr>
        <w:t>7、集约理论视阈中新一轮城市总体规划下基于空间结构与功能布局优化的宁波（高新区、经济开发区、保税区、农业科技园区、大学科技园区、可持续发展实验区、中外合作研发园区等）各类产业园区发展现状、主要问题及其统筹发展顶层设计与政策支持研究</w:t>
      </w:r>
    </w:p>
    <w:p>
      <w:pPr>
        <w:spacing w:line="440" w:lineRule="exact"/>
        <w:ind w:firstLine="420"/>
        <w:rPr>
          <w:rFonts w:asciiTheme="minorEastAsia" w:hAnsiTheme="minorEastAsia" w:eastAsiaTheme="minorEastAsia" w:cstheme="minorBidi"/>
          <w:szCs w:val="21"/>
        </w:rPr>
      </w:pPr>
      <w:r>
        <w:rPr>
          <w:rFonts w:hint="eastAsia" w:ascii="黑体" w:hAnsi="黑体" w:eastAsia="黑体" w:cstheme="minorBidi"/>
          <w:b/>
          <w:szCs w:val="21"/>
        </w:rPr>
        <w:t>【</w:t>
      </w:r>
      <w:r>
        <w:rPr>
          <w:rFonts w:hint="eastAsia" w:asciiTheme="minorEastAsia" w:hAnsiTheme="minorEastAsia" w:eastAsiaTheme="minorEastAsia" w:cstheme="minorBidi"/>
          <w:szCs w:val="21"/>
        </w:rPr>
        <w:t>要求：在全面、深入调研宁波各类产业园区发展现状、存在问题基础上，基于集约化管理等理论，提出统筹发展宁波各类产业园区的顶层设计等一系列解决方案及其支持政策。</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经费：不超过30万。</w:t>
      </w:r>
    </w:p>
    <w:p>
      <w:pPr>
        <w:spacing w:line="440" w:lineRule="exact"/>
        <w:ind w:firstLine="42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w:t>
      </w:r>
      <w:r>
        <w:rPr>
          <w:rFonts w:hint="eastAsia" w:ascii="黑体" w:hAnsi="黑体" w:eastAsia="黑体" w:cstheme="minorBidi"/>
          <w:szCs w:val="21"/>
        </w:rPr>
        <w:t>3</w:t>
      </w:r>
      <w:r>
        <w:rPr>
          <w:rFonts w:hint="eastAsia" w:asciiTheme="minorEastAsia" w:hAnsiTheme="minorEastAsia" w:eastAsiaTheme="minorEastAsia" w:cstheme="minorBidi"/>
          <w:szCs w:val="21"/>
        </w:rPr>
        <w:t>0万字以上研究报告1份，3000字左右的领导参阅件2份，其余不限。</w:t>
      </w:r>
    </w:p>
    <w:p>
      <w:pPr>
        <w:spacing w:line="440" w:lineRule="exact"/>
        <w:ind w:firstLine="420" w:firstLineChars="200"/>
        <w:jc w:val="left"/>
        <w:rPr>
          <w:rFonts w:ascii="仿宋" w:hAnsi="仿宋" w:eastAsia="仿宋" w:cstheme="minorBidi"/>
          <w:szCs w:val="21"/>
        </w:rPr>
      </w:pPr>
      <w:r>
        <w:rPr>
          <w:rFonts w:hint="eastAsia" w:asciiTheme="minorEastAsia" w:hAnsiTheme="minorEastAsia" w:eastAsiaTheme="minorEastAsia" w:cstheme="minorBidi"/>
          <w:szCs w:val="21"/>
        </w:rPr>
        <w:t>时间：1-2年】。</w:t>
      </w:r>
    </w:p>
    <w:p>
      <w:pPr>
        <w:spacing w:line="440" w:lineRule="exact"/>
        <w:rPr>
          <w:rFonts w:ascii="黑体" w:hAnsi="黑体" w:eastAsia="黑体" w:cstheme="minorBidi"/>
          <w:b/>
          <w:szCs w:val="21"/>
        </w:rPr>
      </w:pPr>
    </w:p>
    <w:p>
      <w:pPr>
        <w:spacing w:line="440" w:lineRule="exact"/>
        <w:rPr>
          <w:rFonts w:ascii="黑体" w:hAnsi="黑体" w:eastAsia="黑体" w:cstheme="minorBidi"/>
          <w:b/>
          <w:szCs w:val="21"/>
        </w:rPr>
      </w:pPr>
      <w:r>
        <w:rPr>
          <w:rFonts w:hint="eastAsia" w:ascii="黑体" w:hAnsi="黑体" w:eastAsia="黑体" w:cstheme="minorBidi"/>
          <w:b/>
          <w:szCs w:val="21"/>
        </w:rPr>
        <w:t>8</w:t>
      </w:r>
      <w:r>
        <w:rPr>
          <w:rFonts w:ascii="黑体" w:hAnsi="黑体" w:eastAsia="黑体" w:cstheme="minorBidi"/>
          <w:b/>
          <w:szCs w:val="21"/>
        </w:rPr>
        <w:t>、</w:t>
      </w:r>
      <w:r>
        <w:rPr>
          <w:rFonts w:hint="eastAsia" w:ascii="黑体" w:hAnsi="黑体" w:eastAsia="黑体" w:cstheme="minorBidi"/>
          <w:b/>
          <w:szCs w:val="21"/>
        </w:rPr>
        <w:t>“激发主体活力，系统提升各类主体创新能力”期值下宁波市新、老引进科研院所作用发挥现状、存在问题、解决方案以及统筹发展、提升能力与效益关键问题研究</w:t>
      </w:r>
    </w:p>
    <w:p>
      <w:pPr>
        <w:spacing w:line="440" w:lineRule="exact"/>
        <w:ind w:firstLine="422" w:firstLineChars="200"/>
        <w:rPr>
          <w:rFonts w:asciiTheme="minorEastAsia" w:hAnsiTheme="minorEastAsia" w:eastAsiaTheme="minorEastAsia" w:cstheme="minorBidi"/>
          <w:szCs w:val="21"/>
        </w:rPr>
      </w:pPr>
      <w:r>
        <w:rPr>
          <w:rFonts w:hint="eastAsia" w:ascii="黑体" w:hAnsi="黑体" w:eastAsia="黑体" w:cstheme="minorBidi"/>
          <w:b/>
          <w:szCs w:val="21"/>
        </w:rPr>
        <w:t>【</w:t>
      </w:r>
      <w:r>
        <w:rPr>
          <w:rFonts w:hint="eastAsia" w:asciiTheme="minorEastAsia" w:hAnsiTheme="minorEastAsia" w:eastAsiaTheme="minorEastAsia" w:cstheme="minorBidi"/>
          <w:szCs w:val="21"/>
        </w:rPr>
        <w:t>要求：在认真调查、全面掌握宁波已引进的各个新、老科研院所生存与发展现状、存在问题及其主要原因的基础上，基于“激发主体活力，系统提升各类主体创新能力”要求，系统提出充分发挥老院所作用，统筹设置与发展各个新引进院所的方案框架、实施策略、具体措施与支撑政策。</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经费：不超过20万。</w:t>
      </w:r>
    </w:p>
    <w:p>
      <w:pPr>
        <w:spacing w:line="440" w:lineRule="exact"/>
        <w:ind w:firstLine="42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w:t>
      </w:r>
      <w:r>
        <w:rPr>
          <w:rFonts w:hint="eastAsia" w:ascii="黑体" w:hAnsi="黑体" w:eastAsia="黑体" w:cstheme="minorBidi"/>
          <w:szCs w:val="21"/>
        </w:rPr>
        <w:t>20</w:t>
      </w:r>
      <w:r>
        <w:rPr>
          <w:rFonts w:hint="eastAsia" w:asciiTheme="minorEastAsia" w:hAnsiTheme="minorEastAsia" w:eastAsiaTheme="minorEastAsia" w:cstheme="minorBidi"/>
          <w:szCs w:val="21"/>
        </w:rPr>
        <w:t>万字左右研究报告1份，3000字左右的领导参阅件2份，其余不限。</w:t>
      </w:r>
    </w:p>
    <w:p>
      <w:pPr>
        <w:spacing w:line="440" w:lineRule="exact"/>
        <w:ind w:firstLine="420" w:firstLineChars="200"/>
        <w:rPr>
          <w:rFonts w:ascii="黑体" w:hAnsi="黑体" w:eastAsia="黑体" w:cstheme="minorBidi"/>
          <w:b/>
          <w:szCs w:val="21"/>
        </w:rPr>
      </w:pPr>
      <w:r>
        <w:rPr>
          <w:rFonts w:hint="eastAsia" w:asciiTheme="minorEastAsia" w:hAnsiTheme="minorEastAsia" w:eastAsiaTheme="minorEastAsia" w:cstheme="minorBidi"/>
          <w:szCs w:val="21"/>
        </w:rPr>
        <w:t>时间：1-2年】。</w:t>
      </w:r>
    </w:p>
    <w:p>
      <w:pPr>
        <w:spacing w:line="440" w:lineRule="exact"/>
        <w:rPr>
          <w:rFonts w:ascii="黑体" w:hAnsi="黑体" w:eastAsia="黑体" w:cstheme="minorBidi"/>
          <w:b/>
          <w:szCs w:val="21"/>
        </w:rPr>
      </w:pPr>
    </w:p>
    <w:p>
      <w:pPr>
        <w:spacing w:line="440" w:lineRule="exact"/>
        <w:rPr>
          <w:rFonts w:ascii="黑体" w:hAnsi="黑体" w:eastAsia="黑体" w:cstheme="minorBidi"/>
          <w:b/>
          <w:szCs w:val="21"/>
        </w:rPr>
      </w:pPr>
    </w:p>
    <w:p>
      <w:pPr>
        <w:spacing w:line="440" w:lineRule="exact"/>
        <w:jc w:val="left"/>
        <w:rPr>
          <w:rFonts w:ascii="黑体" w:hAnsi="黑体" w:eastAsia="黑体" w:cstheme="minorBidi"/>
          <w:b/>
          <w:szCs w:val="21"/>
        </w:rPr>
      </w:pPr>
      <w:r>
        <w:rPr>
          <w:rFonts w:hint="eastAsia" w:ascii="黑体" w:hAnsi="黑体" w:eastAsia="黑体" w:cstheme="minorBidi"/>
          <w:b/>
          <w:szCs w:val="21"/>
        </w:rPr>
        <w:t>9、“城乡融合发展”理念下基于科技创新与“全面创新”支撑的宁波“乡村振兴战略”目标构想、体制机制、重点任务、实施路径、对策措施与政策体系研究</w:t>
      </w:r>
    </w:p>
    <w:p>
      <w:pPr>
        <w:spacing w:line="440" w:lineRule="exact"/>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 xml:space="preserve">    【要求：按照产业兴旺、生态宜居、乡风文明、治理有效、生活富裕的总体要求，基于城乡融合发展理念与科技创新为核心的“全面创新”赋能作用，在全面、深入调查与剖析宁波乡村发展的现状与问题基础上，结合国内外先进国家与地区的经验，有针对性地提出落实国家“乡村振兴战略”的目标构想、体制机制、重点任务、实施路径、对策措施以及富于系统性、可操作性的政策体系。</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经费：不超过20万。</w:t>
      </w:r>
    </w:p>
    <w:p>
      <w:pPr>
        <w:spacing w:line="440" w:lineRule="exact"/>
        <w:ind w:firstLine="420"/>
        <w:jc w:val="lef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指标：20万字左右研究报告1份，3000字左右的领导参阅件2份，其余不限。</w:t>
      </w:r>
    </w:p>
    <w:p>
      <w:pPr>
        <w:spacing w:line="440" w:lineRule="exact"/>
        <w:ind w:firstLine="420" w:firstLineChars="200"/>
        <w:jc w:val="left"/>
      </w:pPr>
      <w:r>
        <w:rPr>
          <w:rFonts w:hint="eastAsia" w:asciiTheme="minorEastAsia" w:hAnsiTheme="minorEastAsia" w:eastAsiaTheme="minorEastAsia" w:cstheme="minorBidi"/>
          <w:szCs w:val="21"/>
        </w:rPr>
        <w:t>时间：1年】。</w:t>
      </w:r>
    </w:p>
    <w:p/>
    <w:sectPr>
      <w:footerReference r:id="rId3" w:type="default"/>
      <w:footerReference r:id="rId4" w:type="even"/>
      <w:pgSz w:w="11906" w:h="16838"/>
      <w:pgMar w:top="2098" w:right="1474" w:bottom="1814" w:left="1588" w:header="851" w:footer="113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761103"/>
      <w:docPartObj>
        <w:docPartGallery w:val="autotext"/>
      </w:docPartObj>
    </w:sdtPr>
    <w:sdtEndPr>
      <w:rPr>
        <w:rFonts w:asciiTheme="majorEastAsia" w:hAnsiTheme="majorEastAsia" w:eastAsiaTheme="majorEastAsia"/>
        <w:sz w:val="28"/>
        <w:szCs w:val="28"/>
      </w:rPr>
    </w:sdtEndPr>
    <w:sdtContent>
      <w:p>
        <w:pPr>
          <w:pStyle w:val="2"/>
          <w:jc w:val="right"/>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953884"/>
      <w:docPartObj>
        <w:docPartGallery w:val="autotext"/>
      </w:docPartObj>
    </w:sdtPr>
    <w:sdtEndPr>
      <w:rPr>
        <w:rFonts w:asciiTheme="majorEastAsia" w:hAnsiTheme="majorEastAsia" w:eastAsiaTheme="majorEastAsia"/>
        <w:sz w:val="28"/>
        <w:szCs w:val="28"/>
      </w:rPr>
    </w:sdtEndPr>
    <w:sdtContent>
      <w:p>
        <w:pPr>
          <w:pStyle w:val="2"/>
          <w:ind w:right="36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61222"/>
    <w:rsid w:val="6D535020"/>
    <w:rsid w:val="7DA61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antia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2018-08-13T12:58:00Z</dcterms:created>
  <dc:creator>田天</dc:creator>
  <cp:lastModifiedBy>田天</cp:lastModifiedBy>
  <dcterms:modified xsi:type="dcterms:W3CDTF">2018-08-13T12:59:25Z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